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44100E">
      <w:pPr>
        <w:jc w:val="center"/>
        <w:rPr>
          <w:rFonts w:hint="eastAsia" w:ascii="宋体" w:hAnsi="宋体" w:eastAsia="宋体" w:cs="宋体"/>
          <w:color w:val="auto"/>
          <w:kern w:val="2"/>
          <w:sz w:val="48"/>
          <w:szCs w:val="48"/>
          <w:highlight w:val="none"/>
          <w:lang w:val="en-US" w:eastAsia="zh-CN" w:bidi="ar-SA"/>
        </w:rPr>
      </w:pPr>
    </w:p>
    <w:p w14:paraId="756046C0">
      <w:pPr>
        <w:jc w:val="center"/>
        <w:rPr>
          <w:rFonts w:hint="eastAsia" w:ascii="宋体" w:hAnsi="宋体" w:eastAsia="宋体" w:cs="宋体"/>
          <w:color w:val="auto"/>
          <w:kern w:val="2"/>
          <w:sz w:val="48"/>
          <w:szCs w:val="48"/>
          <w:highlight w:val="none"/>
          <w:lang w:val="en-US" w:eastAsia="zh-CN" w:bidi="ar-SA"/>
        </w:rPr>
      </w:pPr>
      <w:r>
        <w:rPr>
          <w:rFonts w:hint="eastAsia" w:ascii="宋体" w:hAnsi="宋体" w:eastAsia="宋体" w:cs="宋体"/>
          <w:color w:val="auto"/>
          <w:kern w:val="2"/>
          <w:sz w:val="48"/>
          <w:szCs w:val="48"/>
          <w:highlight w:val="none"/>
          <w:lang w:val="en-US" w:eastAsia="zh-CN" w:bidi="ar-SA"/>
        </w:rPr>
        <w:t>智能化招投标平台项目</w:t>
      </w:r>
    </w:p>
    <w:p w14:paraId="57044606">
      <w:pPr>
        <w:jc w:val="center"/>
        <w:rPr>
          <w:rFonts w:hint="eastAsia" w:ascii="宋体" w:hAnsi="宋体" w:eastAsia="宋体" w:cs="宋体"/>
          <w:color w:val="auto"/>
          <w:sz w:val="72"/>
          <w:szCs w:val="72"/>
          <w:highlight w:val="none"/>
          <w:lang w:val="en-US" w:eastAsia="zh-CN"/>
        </w:rPr>
      </w:pPr>
    </w:p>
    <w:p w14:paraId="1DE0E4D4">
      <w:pPr>
        <w:jc w:val="center"/>
        <w:rPr>
          <w:rFonts w:hint="eastAsia" w:ascii="宋体" w:hAnsi="宋体" w:eastAsia="宋体" w:cs="宋体"/>
          <w:color w:val="auto"/>
          <w:sz w:val="72"/>
          <w:szCs w:val="72"/>
          <w:highlight w:val="none"/>
          <w:lang w:val="en-US" w:eastAsia="zh-CN"/>
        </w:rPr>
      </w:pPr>
    </w:p>
    <w:p w14:paraId="75668197">
      <w:pPr>
        <w:jc w:val="center"/>
        <w:rPr>
          <w:rFonts w:hint="eastAsia" w:ascii="宋体" w:hAnsi="宋体" w:eastAsia="宋体" w:cs="宋体"/>
          <w:color w:val="auto"/>
          <w:kern w:val="2"/>
          <w:sz w:val="48"/>
          <w:szCs w:val="48"/>
          <w:highlight w:val="none"/>
          <w:lang w:val="en-US" w:eastAsia="zh-CN" w:bidi="ar-SA"/>
        </w:rPr>
      </w:pPr>
      <w:r>
        <w:rPr>
          <w:rFonts w:hint="eastAsia" w:ascii="宋体" w:hAnsi="宋体" w:eastAsia="宋体" w:cs="宋体"/>
          <w:color w:val="auto"/>
          <w:sz w:val="72"/>
          <w:szCs w:val="72"/>
          <w:highlight w:val="none"/>
          <w:lang w:val="en-US" w:eastAsia="zh-CN"/>
        </w:rPr>
        <w:t>询比文件</w:t>
      </w:r>
    </w:p>
    <w:p w14:paraId="7EBA07B7">
      <w:pPr>
        <w:rPr>
          <w:rFonts w:hint="eastAsia"/>
        </w:rPr>
      </w:pPr>
    </w:p>
    <w:p w14:paraId="3A3D1534">
      <w:pPr>
        <w:rPr>
          <w:rFonts w:hint="eastAsia"/>
        </w:rPr>
      </w:pPr>
    </w:p>
    <w:p w14:paraId="45F5E99F">
      <w:pPr>
        <w:rPr>
          <w:rFonts w:hint="eastAsia"/>
        </w:rPr>
      </w:pPr>
    </w:p>
    <w:p w14:paraId="4FCE33D7">
      <w:pPr>
        <w:rPr>
          <w:rFonts w:hint="eastAsia"/>
        </w:rPr>
      </w:pPr>
    </w:p>
    <w:p w14:paraId="383F0FB9">
      <w:pPr>
        <w:rPr>
          <w:rFonts w:hint="eastAsia"/>
        </w:rPr>
      </w:pPr>
    </w:p>
    <w:p w14:paraId="361E2382">
      <w:pPr>
        <w:rPr>
          <w:rFonts w:hint="eastAsia"/>
        </w:rPr>
      </w:pPr>
    </w:p>
    <w:p w14:paraId="7A73FA16">
      <w:pPr>
        <w:rPr>
          <w:rFonts w:hint="eastAsia"/>
        </w:rPr>
      </w:pPr>
    </w:p>
    <w:p w14:paraId="3235D9CE">
      <w:pPr>
        <w:rPr>
          <w:rFonts w:hint="eastAsia"/>
        </w:rPr>
      </w:pPr>
    </w:p>
    <w:p w14:paraId="78B0486D">
      <w:pPr>
        <w:rPr>
          <w:rFonts w:hint="eastAsia"/>
        </w:rPr>
      </w:pPr>
    </w:p>
    <w:p w14:paraId="4BD3C95E">
      <w:pPr>
        <w:rPr>
          <w:rFonts w:hint="eastAsia"/>
        </w:rPr>
      </w:pPr>
    </w:p>
    <w:p w14:paraId="40389D7F">
      <w:pPr>
        <w:rPr>
          <w:rFonts w:hint="eastAsia"/>
        </w:rPr>
      </w:pPr>
    </w:p>
    <w:p w14:paraId="3252C44D">
      <w:pPr>
        <w:rPr>
          <w:rFonts w:hint="eastAsia"/>
        </w:rPr>
      </w:pPr>
    </w:p>
    <w:p w14:paraId="4304A228">
      <w:pPr>
        <w:rPr>
          <w:rFonts w:hint="eastAsia"/>
        </w:rPr>
      </w:pPr>
    </w:p>
    <w:p w14:paraId="0152E1C7">
      <w:pPr>
        <w:rPr>
          <w:rFonts w:hint="eastAsia"/>
        </w:rPr>
      </w:pPr>
    </w:p>
    <w:p w14:paraId="6DB0C390">
      <w:pPr>
        <w:rPr>
          <w:rFonts w:hint="eastAsia"/>
        </w:rPr>
      </w:pPr>
    </w:p>
    <w:p w14:paraId="36F65BD0">
      <w:pPr>
        <w:rPr>
          <w:rFonts w:hint="eastAsia"/>
        </w:rPr>
      </w:pPr>
    </w:p>
    <w:p w14:paraId="70FD2D82">
      <w:pPr>
        <w:rPr>
          <w:rFonts w:hint="eastAsia"/>
        </w:rPr>
      </w:pPr>
    </w:p>
    <w:p w14:paraId="1458EEEA">
      <w:pPr>
        <w:rPr>
          <w:rFonts w:hint="eastAsia"/>
        </w:rPr>
      </w:pPr>
    </w:p>
    <w:p w14:paraId="40035E3C">
      <w:pPr>
        <w:rPr>
          <w:rFonts w:hint="eastAsia"/>
        </w:rPr>
      </w:pPr>
    </w:p>
    <w:p w14:paraId="36690A3A">
      <w:pPr>
        <w:rPr>
          <w:rFonts w:hint="eastAsia"/>
        </w:rPr>
      </w:pPr>
    </w:p>
    <w:p w14:paraId="0B0928D2">
      <w:pPr>
        <w:rPr>
          <w:rFonts w:hint="eastAsia"/>
        </w:rPr>
      </w:pPr>
    </w:p>
    <w:p w14:paraId="717A5235">
      <w:pPr>
        <w:rPr>
          <w:rFonts w:hint="eastAsia"/>
        </w:rPr>
      </w:pPr>
    </w:p>
    <w:p w14:paraId="6E5CCE18">
      <w:pPr>
        <w:rPr>
          <w:rFonts w:hint="eastAsia"/>
        </w:rPr>
      </w:pPr>
    </w:p>
    <w:p w14:paraId="1B9AFD84">
      <w:pPr>
        <w:snapToGrid w:val="0"/>
        <w:jc w:val="center"/>
        <w:rPr>
          <w:rFonts w:hint="eastAsia" w:ascii="宋体" w:hAnsi="宋体" w:eastAsia="宋体" w:cs="宋体"/>
          <w:color w:val="auto"/>
          <w:sz w:val="36"/>
          <w:szCs w:val="36"/>
          <w:highlight w:val="none"/>
          <w:u w:val="single"/>
          <w:lang w:eastAsia="zh-CN"/>
        </w:rPr>
      </w:pPr>
      <w:r>
        <w:rPr>
          <w:rFonts w:hint="eastAsia" w:ascii="宋体" w:hAnsi="宋体" w:eastAsia="宋体" w:cs="宋体"/>
          <w:color w:val="auto"/>
          <w:sz w:val="36"/>
          <w:szCs w:val="36"/>
          <w:highlight w:val="none"/>
        </w:rPr>
        <w:t>采购人：</w:t>
      </w:r>
      <w:r>
        <w:rPr>
          <w:rFonts w:hint="eastAsia" w:ascii="宋体" w:hAnsi="宋体" w:eastAsia="宋体" w:cs="宋体"/>
          <w:color w:val="auto"/>
          <w:sz w:val="36"/>
          <w:szCs w:val="36"/>
          <w:highlight w:val="none"/>
          <w:u w:val="single"/>
          <w:lang w:eastAsia="zh-CN"/>
        </w:rPr>
        <w:t>深圳市云创得力数据有限公司</w:t>
      </w:r>
    </w:p>
    <w:p w14:paraId="03DC96F2">
      <w:pPr>
        <w:snapToGrid w:val="0"/>
        <w:jc w:val="center"/>
        <w:rPr>
          <w:rFonts w:hint="eastAsia" w:ascii="宋体" w:hAnsi="宋体" w:eastAsia="宋体" w:cs="宋体"/>
          <w:color w:val="auto"/>
          <w:sz w:val="36"/>
          <w:szCs w:val="36"/>
          <w:highlight w:val="none"/>
        </w:rPr>
      </w:pPr>
      <w:r>
        <w:rPr>
          <w:rFonts w:hint="eastAsia" w:ascii="宋体" w:hAnsi="宋体" w:eastAsia="宋体" w:cs="宋体"/>
          <w:color w:val="auto"/>
          <w:sz w:val="36"/>
          <w:szCs w:val="36"/>
          <w:highlight w:val="none"/>
        </w:rPr>
        <w:t>日期：</w:t>
      </w:r>
      <w:r>
        <w:rPr>
          <w:rFonts w:hint="eastAsia" w:ascii="宋体" w:hAnsi="宋体" w:eastAsia="宋体" w:cs="宋体"/>
          <w:color w:val="auto"/>
          <w:sz w:val="36"/>
          <w:szCs w:val="36"/>
          <w:highlight w:val="none"/>
          <w:u w:val="single"/>
        </w:rPr>
        <w:t>2026年8月</w:t>
      </w:r>
    </w:p>
    <w:p w14:paraId="585C7EB3">
      <w:pPr>
        <w:spacing w:before="0" w:beforeLines="0" w:after="0" w:afterLines="0" w:line="240" w:lineRule="auto"/>
        <w:ind w:left="0" w:leftChars="0" w:right="0" w:rightChars="0" w:firstLine="0" w:firstLineChars="0"/>
        <w:jc w:val="center"/>
        <w:rPr>
          <w:rFonts w:hint="eastAsia" w:ascii="宋体" w:hAnsi="宋体" w:cs="宋体"/>
          <w:b/>
          <w:bCs/>
          <w:color w:val="auto"/>
          <w:sz w:val="36"/>
          <w:szCs w:val="36"/>
          <w:highlight w:val="none"/>
          <w:lang w:val="zh-CN"/>
        </w:rPr>
      </w:pPr>
      <w:r>
        <w:rPr>
          <w:rFonts w:hint="eastAsia" w:ascii="宋体" w:hAnsi="宋体" w:cs="宋体"/>
          <w:b/>
          <w:bCs/>
          <w:color w:val="auto"/>
          <w:sz w:val="36"/>
          <w:szCs w:val="36"/>
          <w:highlight w:val="none"/>
          <w:lang w:val="zh-CN"/>
        </w:rPr>
        <w:t>目</w:t>
      </w:r>
      <w:r>
        <w:rPr>
          <w:rFonts w:hint="eastAsia" w:ascii="宋体" w:hAnsi="宋体" w:cs="宋体"/>
          <w:b/>
          <w:bCs/>
          <w:color w:val="auto"/>
          <w:sz w:val="36"/>
          <w:szCs w:val="36"/>
          <w:highlight w:val="none"/>
        </w:rPr>
        <w:t xml:space="preserve"> </w:t>
      </w:r>
      <w:r>
        <w:rPr>
          <w:rFonts w:hint="eastAsia" w:ascii="宋体" w:hAnsi="宋体" w:cs="宋体"/>
          <w:b/>
          <w:bCs/>
          <w:color w:val="auto"/>
          <w:sz w:val="36"/>
          <w:szCs w:val="36"/>
          <w:highlight w:val="none"/>
          <w:lang w:val="zh-CN"/>
        </w:rPr>
        <w:t>录</w:t>
      </w:r>
    </w:p>
    <w:p w14:paraId="2138A2AA">
      <w:pPr>
        <w:spacing w:before="0" w:beforeLines="0" w:after="0" w:afterLines="0" w:line="240" w:lineRule="auto"/>
        <w:ind w:left="0" w:leftChars="0" w:right="0" w:rightChars="0" w:firstLine="0" w:firstLineChars="0"/>
        <w:jc w:val="center"/>
        <w:rPr>
          <w:rFonts w:hint="eastAsia" w:ascii="宋体" w:hAnsi="宋体" w:cs="宋体"/>
          <w:b/>
          <w:bCs/>
          <w:color w:val="auto"/>
          <w:sz w:val="36"/>
          <w:szCs w:val="36"/>
          <w:highlight w:val="none"/>
          <w:lang w:val="zh-CN"/>
        </w:rPr>
      </w:pPr>
    </w:p>
    <w:p w14:paraId="542E8B97">
      <w:pPr>
        <w:spacing w:before="0" w:beforeLines="0" w:after="0" w:afterLines="0" w:line="240" w:lineRule="auto"/>
        <w:ind w:left="0" w:leftChars="0" w:right="0" w:rightChars="0" w:firstLine="0" w:firstLineChars="0"/>
        <w:jc w:val="center"/>
        <w:rPr>
          <w:rFonts w:hint="eastAsia" w:ascii="宋体" w:hAnsi="宋体" w:cs="宋体"/>
          <w:b/>
          <w:bCs/>
          <w:color w:val="auto"/>
          <w:sz w:val="36"/>
          <w:szCs w:val="36"/>
          <w:highlight w:val="none"/>
          <w:lang w:val="zh-CN"/>
        </w:rPr>
      </w:pPr>
    </w:p>
    <w:p w14:paraId="4AFE0B30">
      <w:pPr>
        <w:spacing w:before="0" w:beforeLines="0" w:after="0" w:afterLines="0" w:line="240" w:lineRule="auto"/>
        <w:ind w:left="0" w:leftChars="0" w:right="0" w:rightChars="0" w:firstLine="0" w:firstLineChars="0"/>
        <w:jc w:val="center"/>
        <w:rPr>
          <w:rFonts w:hint="eastAsia" w:ascii="宋体" w:hAnsi="宋体" w:cs="宋体"/>
          <w:b/>
          <w:bCs/>
          <w:color w:val="auto"/>
          <w:sz w:val="36"/>
          <w:szCs w:val="36"/>
          <w:highlight w:val="none"/>
          <w:lang w:val="zh-CN"/>
        </w:rPr>
      </w:pPr>
    </w:p>
    <w:p w14:paraId="7E25AD0F">
      <w:pPr>
        <w:pStyle w:val="13"/>
        <w:keepNext w:val="0"/>
        <w:keepLines w:val="0"/>
        <w:pageBreakBefore w:val="0"/>
        <w:widowControl w:val="0"/>
        <w:tabs>
          <w:tab w:val="right" w:leader="dot" w:pos="8306"/>
        </w:tabs>
        <w:kinsoku/>
        <w:wordWrap/>
        <w:overflowPunct/>
        <w:topLinePunct w:val="0"/>
        <w:autoSpaceDE/>
        <w:autoSpaceDN/>
        <w:bidi w:val="0"/>
        <w:adjustRightInd/>
        <w:snapToGrid/>
        <w:spacing w:line="480" w:lineRule="auto"/>
        <w:textAlignment w:val="auto"/>
      </w:pPr>
      <w:r>
        <w:rPr>
          <w:rFonts w:hint="eastAsia"/>
          <w:sz w:val="20"/>
          <w:szCs w:val="20"/>
        </w:rPr>
        <w:fldChar w:fldCharType="begin"/>
      </w:r>
      <w:r>
        <w:rPr>
          <w:rFonts w:hint="eastAsia"/>
          <w:sz w:val="20"/>
          <w:szCs w:val="20"/>
        </w:rPr>
        <w:instrText xml:space="preserve">TOC \o "1-1" \h \u </w:instrText>
      </w:r>
      <w:r>
        <w:rPr>
          <w:rFonts w:hint="eastAsia"/>
          <w:sz w:val="20"/>
          <w:szCs w:val="20"/>
        </w:rPr>
        <w:fldChar w:fldCharType="separate"/>
      </w:r>
      <w:r>
        <w:rPr>
          <w:rFonts w:hint="eastAsia"/>
          <w:szCs w:val="20"/>
        </w:rPr>
        <w:fldChar w:fldCharType="begin"/>
      </w:r>
      <w:r>
        <w:rPr>
          <w:rFonts w:hint="eastAsia"/>
          <w:szCs w:val="20"/>
        </w:rPr>
        <w:instrText xml:space="preserve"> HYPERLINK \l _Toc961060999 </w:instrText>
      </w:r>
      <w:r>
        <w:rPr>
          <w:rFonts w:hint="eastAsia"/>
          <w:szCs w:val="20"/>
        </w:rPr>
        <w:fldChar w:fldCharType="separate"/>
      </w:r>
      <w:r>
        <w:rPr>
          <w:rFonts w:hint="eastAsia" w:eastAsia="宋体" w:cs="Times New Roman"/>
          <w:highlight w:val="none"/>
        </w:rPr>
        <w:t>第一章 采购公告</w:t>
      </w:r>
      <w:r>
        <w:tab/>
      </w:r>
      <w:r>
        <w:fldChar w:fldCharType="begin"/>
      </w:r>
      <w:r>
        <w:instrText xml:space="preserve"> PAGEREF _Toc961060999 \h </w:instrText>
      </w:r>
      <w:r>
        <w:fldChar w:fldCharType="separate"/>
      </w:r>
      <w:r>
        <w:t>3</w:t>
      </w:r>
      <w:r>
        <w:fldChar w:fldCharType="end"/>
      </w:r>
      <w:r>
        <w:rPr>
          <w:rFonts w:hint="eastAsia"/>
          <w:szCs w:val="20"/>
        </w:rPr>
        <w:fldChar w:fldCharType="end"/>
      </w:r>
    </w:p>
    <w:p w14:paraId="130AE2E5">
      <w:pPr>
        <w:pStyle w:val="13"/>
        <w:keepNext w:val="0"/>
        <w:keepLines w:val="0"/>
        <w:pageBreakBefore w:val="0"/>
        <w:widowControl w:val="0"/>
        <w:tabs>
          <w:tab w:val="right" w:leader="dot" w:pos="8306"/>
        </w:tabs>
        <w:kinsoku/>
        <w:wordWrap/>
        <w:overflowPunct/>
        <w:topLinePunct w:val="0"/>
        <w:autoSpaceDE/>
        <w:autoSpaceDN/>
        <w:bidi w:val="0"/>
        <w:adjustRightInd/>
        <w:snapToGrid/>
        <w:spacing w:line="480" w:lineRule="auto"/>
        <w:textAlignment w:val="auto"/>
      </w:pPr>
      <w:r>
        <w:rPr>
          <w:rFonts w:hint="eastAsia"/>
          <w:szCs w:val="24"/>
        </w:rPr>
        <w:fldChar w:fldCharType="begin"/>
      </w:r>
      <w:r>
        <w:rPr>
          <w:rFonts w:hint="eastAsia"/>
          <w:szCs w:val="24"/>
        </w:rPr>
        <w:instrText xml:space="preserve"> HYPERLINK \l _Toc177997492 </w:instrText>
      </w:r>
      <w:r>
        <w:rPr>
          <w:rFonts w:hint="eastAsia"/>
          <w:szCs w:val="24"/>
        </w:rPr>
        <w:fldChar w:fldCharType="separate"/>
      </w:r>
      <w:r>
        <w:rPr>
          <w:rFonts w:hint="eastAsia" w:ascii="Times New Roman" w:hAnsi="Times New Roman" w:eastAsia="宋体" w:cs="Times New Roman"/>
          <w:bCs/>
          <w:kern w:val="44"/>
          <w:szCs w:val="44"/>
          <w:highlight w:val="none"/>
          <w:lang w:val="en-US" w:eastAsia="zh-CN" w:bidi="ar-SA"/>
        </w:rPr>
        <w:t>第二章 供应商须知</w:t>
      </w:r>
      <w:r>
        <w:tab/>
      </w:r>
      <w:r>
        <w:fldChar w:fldCharType="begin"/>
      </w:r>
      <w:r>
        <w:instrText xml:space="preserve"> PAGEREF _Toc177997492 \h </w:instrText>
      </w:r>
      <w:r>
        <w:fldChar w:fldCharType="separate"/>
      </w:r>
      <w:r>
        <w:t>6</w:t>
      </w:r>
      <w:r>
        <w:fldChar w:fldCharType="end"/>
      </w:r>
      <w:r>
        <w:rPr>
          <w:rFonts w:hint="eastAsia"/>
          <w:szCs w:val="24"/>
        </w:rPr>
        <w:fldChar w:fldCharType="end"/>
      </w:r>
    </w:p>
    <w:p w14:paraId="4480A72F">
      <w:pPr>
        <w:pStyle w:val="13"/>
        <w:keepNext w:val="0"/>
        <w:keepLines w:val="0"/>
        <w:pageBreakBefore w:val="0"/>
        <w:widowControl w:val="0"/>
        <w:tabs>
          <w:tab w:val="right" w:leader="dot" w:pos="8306"/>
        </w:tabs>
        <w:kinsoku/>
        <w:wordWrap/>
        <w:overflowPunct/>
        <w:topLinePunct w:val="0"/>
        <w:autoSpaceDE/>
        <w:autoSpaceDN/>
        <w:bidi w:val="0"/>
        <w:adjustRightInd/>
        <w:snapToGrid/>
        <w:spacing w:line="480" w:lineRule="auto"/>
        <w:textAlignment w:val="auto"/>
      </w:pPr>
      <w:r>
        <w:rPr>
          <w:rFonts w:hint="eastAsia"/>
          <w:szCs w:val="24"/>
        </w:rPr>
        <w:fldChar w:fldCharType="begin"/>
      </w:r>
      <w:r>
        <w:rPr>
          <w:rFonts w:hint="eastAsia"/>
          <w:szCs w:val="24"/>
        </w:rPr>
        <w:instrText xml:space="preserve"> HYPERLINK \l _Toc173039748 </w:instrText>
      </w:r>
      <w:r>
        <w:rPr>
          <w:rFonts w:hint="eastAsia"/>
          <w:szCs w:val="24"/>
        </w:rPr>
        <w:fldChar w:fldCharType="separate"/>
      </w:r>
      <w:r>
        <w:rPr>
          <w:rFonts w:hint="eastAsia" w:ascii="Times New Roman" w:hAnsi="Times New Roman" w:eastAsia="宋体" w:cs="Times New Roman"/>
          <w:bCs/>
          <w:kern w:val="44"/>
          <w:szCs w:val="44"/>
          <w:highlight w:val="none"/>
          <w:lang w:val="en-US" w:eastAsia="zh-CN" w:bidi="ar-SA"/>
        </w:rPr>
        <w:t>第三章 评审办法（综合评分法）</w:t>
      </w:r>
      <w:r>
        <w:tab/>
      </w:r>
      <w:r>
        <w:fldChar w:fldCharType="begin"/>
      </w:r>
      <w:r>
        <w:instrText xml:space="preserve"> PAGEREF _Toc173039748 \h </w:instrText>
      </w:r>
      <w:r>
        <w:fldChar w:fldCharType="separate"/>
      </w:r>
      <w:r>
        <w:t>10</w:t>
      </w:r>
      <w:r>
        <w:fldChar w:fldCharType="end"/>
      </w:r>
      <w:r>
        <w:rPr>
          <w:rFonts w:hint="eastAsia"/>
          <w:szCs w:val="24"/>
        </w:rPr>
        <w:fldChar w:fldCharType="end"/>
      </w:r>
    </w:p>
    <w:p w14:paraId="25B5BFBD">
      <w:pPr>
        <w:pStyle w:val="13"/>
        <w:keepNext w:val="0"/>
        <w:keepLines w:val="0"/>
        <w:pageBreakBefore w:val="0"/>
        <w:widowControl w:val="0"/>
        <w:tabs>
          <w:tab w:val="right" w:leader="dot" w:pos="8306"/>
        </w:tabs>
        <w:kinsoku/>
        <w:wordWrap/>
        <w:overflowPunct/>
        <w:topLinePunct w:val="0"/>
        <w:autoSpaceDE/>
        <w:autoSpaceDN/>
        <w:bidi w:val="0"/>
        <w:adjustRightInd/>
        <w:snapToGrid/>
        <w:spacing w:line="480" w:lineRule="auto"/>
        <w:textAlignment w:val="auto"/>
      </w:pPr>
      <w:r>
        <w:rPr>
          <w:rFonts w:hint="eastAsia"/>
          <w:szCs w:val="24"/>
        </w:rPr>
        <w:fldChar w:fldCharType="begin"/>
      </w:r>
      <w:r>
        <w:rPr>
          <w:rFonts w:hint="eastAsia"/>
          <w:szCs w:val="24"/>
        </w:rPr>
        <w:instrText xml:space="preserve"> HYPERLINK \l _Toc299381813 </w:instrText>
      </w:r>
      <w:r>
        <w:rPr>
          <w:rFonts w:hint="eastAsia"/>
          <w:szCs w:val="24"/>
        </w:rPr>
        <w:fldChar w:fldCharType="separate"/>
      </w:r>
      <w:r>
        <w:rPr>
          <w:rFonts w:hint="eastAsia" w:eastAsia="宋体" w:cs="Times New Roman"/>
          <w:highlight w:val="none"/>
        </w:rPr>
        <w:t>第四章 合同条款</w:t>
      </w:r>
      <w:r>
        <w:tab/>
      </w:r>
      <w:r>
        <w:fldChar w:fldCharType="begin"/>
      </w:r>
      <w:r>
        <w:instrText xml:space="preserve"> PAGEREF _Toc299381813 \h </w:instrText>
      </w:r>
      <w:r>
        <w:fldChar w:fldCharType="separate"/>
      </w:r>
      <w:r>
        <w:t>17</w:t>
      </w:r>
      <w:r>
        <w:fldChar w:fldCharType="end"/>
      </w:r>
      <w:r>
        <w:rPr>
          <w:rFonts w:hint="eastAsia"/>
          <w:szCs w:val="24"/>
        </w:rPr>
        <w:fldChar w:fldCharType="end"/>
      </w:r>
    </w:p>
    <w:p w14:paraId="38AB619F">
      <w:pPr>
        <w:pStyle w:val="13"/>
        <w:keepNext w:val="0"/>
        <w:keepLines w:val="0"/>
        <w:pageBreakBefore w:val="0"/>
        <w:widowControl w:val="0"/>
        <w:tabs>
          <w:tab w:val="right" w:leader="dot" w:pos="8306"/>
        </w:tabs>
        <w:kinsoku/>
        <w:wordWrap/>
        <w:overflowPunct/>
        <w:topLinePunct w:val="0"/>
        <w:autoSpaceDE/>
        <w:autoSpaceDN/>
        <w:bidi w:val="0"/>
        <w:adjustRightInd/>
        <w:snapToGrid/>
        <w:spacing w:line="480" w:lineRule="auto"/>
        <w:textAlignment w:val="auto"/>
      </w:pPr>
      <w:r>
        <w:rPr>
          <w:rFonts w:hint="eastAsia"/>
          <w:szCs w:val="24"/>
        </w:rPr>
        <w:fldChar w:fldCharType="begin"/>
      </w:r>
      <w:r>
        <w:rPr>
          <w:rFonts w:hint="eastAsia"/>
          <w:szCs w:val="24"/>
        </w:rPr>
        <w:instrText xml:space="preserve"> HYPERLINK \l _Toc32324604 </w:instrText>
      </w:r>
      <w:r>
        <w:rPr>
          <w:rFonts w:hint="eastAsia"/>
          <w:szCs w:val="24"/>
        </w:rPr>
        <w:fldChar w:fldCharType="separate"/>
      </w:r>
      <w:r>
        <w:rPr>
          <w:rFonts w:hint="eastAsia" w:ascii="Times New Roman" w:hAnsi="Times New Roman" w:eastAsia="宋体" w:cs="Times New Roman"/>
          <w:bCs/>
          <w:kern w:val="44"/>
          <w:szCs w:val="44"/>
          <w:highlight w:val="none"/>
          <w:lang w:val="en-US" w:eastAsia="zh-CN" w:bidi="ar-SA"/>
        </w:rPr>
        <w:t>第五章 采购需求</w:t>
      </w:r>
      <w:r>
        <w:tab/>
      </w:r>
      <w:r>
        <w:fldChar w:fldCharType="begin"/>
      </w:r>
      <w:r>
        <w:instrText xml:space="preserve"> PAGEREF _Toc32324604 \h </w:instrText>
      </w:r>
      <w:r>
        <w:fldChar w:fldCharType="separate"/>
      </w:r>
      <w:r>
        <w:t>23</w:t>
      </w:r>
      <w:r>
        <w:fldChar w:fldCharType="end"/>
      </w:r>
      <w:r>
        <w:rPr>
          <w:rFonts w:hint="eastAsia"/>
          <w:szCs w:val="24"/>
        </w:rPr>
        <w:fldChar w:fldCharType="end"/>
      </w:r>
    </w:p>
    <w:p w14:paraId="2EA8D07F">
      <w:pPr>
        <w:pStyle w:val="13"/>
        <w:keepNext w:val="0"/>
        <w:keepLines w:val="0"/>
        <w:pageBreakBefore w:val="0"/>
        <w:widowControl w:val="0"/>
        <w:tabs>
          <w:tab w:val="right" w:leader="dot" w:pos="8306"/>
        </w:tabs>
        <w:kinsoku/>
        <w:wordWrap/>
        <w:overflowPunct/>
        <w:topLinePunct w:val="0"/>
        <w:autoSpaceDE/>
        <w:autoSpaceDN/>
        <w:bidi w:val="0"/>
        <w:adjustRightInd/>
        <w:snapToGrid/>
        <w:spacing w:line="480" w:lineRule="auto"/>
        <w:textAlignment w:val="auto"/>
      </w:pPr>
      <w:r>
        <w:rPr>
          <w:rFonts w:hint="eastAsia"/>
          <w:szCs w:val="24"/>
        </w:rPr>
        <w:fldChar w:fldCharType="begin"/>
      </w:r>
      <w:r>
        <w:rPr>
          <w:rFonts w:hint="eastAsia"/>
          <w:szCs w:val="24"/>
        </w:rPr>
        <w:instrText xml:space="preserve"> HYPERLINK \l _Toc1638017823 </w:instrText>
      </w:r>
      <w:r>
        <w:rPr>
          <w:rFonts w:hint="eastAsia"/>
          <w:szCs w:val="24"/>
        </w:rPr>
        <w:fldChar w:fldCharType="separate"/>
      </w:r>
      <w:r>
        <w:rPr>
          <w:rFonts w:hint="eastAsia" w:ascii="Times New Roman" w:hAnsi="Times New Roman" w:eastAsia="宋体" w:cs="Times New Roman"/>
          <w:bCs/>
          <w:kern w:val="44"/>
          <w:szCs w:val="44"/>
          <w:highlight w:val="none"/>
          <w:lang w:val="en-US" w:eastAsia="zh-CN" w:bidi="ar-SA"/>
        </w:rPr>
        <w:t>第六章 响应文件格式</w:t>
      </w:r>
      <w:r>
        <w:tab/>
      </w:r>
      <w:r>
        <w:fldChar w:fldCharType="begin"/>
      </w:r>
      <w:r>
        <w:instrText xml:space="preserve"> PAGEREF _Toc1638017823 \h </w:instrText>
      </w:r>
      <w:r>
        <w:fldChar w:fldCharType="separate"/>
      </w:r>
      <w:r>
        <w:t>34</w:t>
      </w:r>
      <w:r>
        <w:fldChar w:fldCharType="end"/>
      </w:r>
      <w:r>
        <w:rPr>
          <w:rFonts w:hint="eastAsia"/>
          <w:szCs w:val="24"/>
        </w:rPr>
        <w:fldChar w:fldCharType="end"/>
      </w:r>
    </w:p>
    <w:p w14:paraId="25AD74CD">
      <w:pPr>
        <w:pStyle w:val="13"/>
        <w:tabs>
          <w:tab w:val="right" w:leader="dot" w:pos="8306"/>
        </w:tabs>
      </w:pPr>
    </w:p>
    <w:p w14:paraId="0E1C5B14">
      <w:pPr>
        <w:rPr>
          <w:rFonts w:hint="eastAsia" w:asciiTheme="minorHAnsi" w:hAnsiTheme="minorHAnsi" w:eastAsiaTheme="minorEastAsia" w:cstheme="minorBidi"/>
          <w:kern w:val="2"/>
          <w:sz w:val="21"/>
          <w:szCs w:val="24"/>
          <w:lang w:val="en-US" w:eastAsia="zh-CN" w:bidi="ar-SA"/>
        </w:rPr>
      </w:pPr>
      <w:r>
        <w:rPr>
          <w:rFonts w:hint="eastAsia"/>
          <w:szCs w:val="24"/>
        </w:rPr>
        <w:fldChar w:fldCharType="end"/>
      </w:r>
    </w:p>
    <w:p w14:paraId="4E9E01CA">
      <w:pPr>
        <w:rPr>
          <w:rFonts w:hint="eastAsia" w:asciiTheme="minorHAnsi" w:hAnsiTheme="minorHAnsi" w:eastAsiaTheme="minorEastAsia" w:cstheme="minorBidi"/>
          <w:kern w:val="2"/>
          <w:sz w:val="21"/>
          <w:szCs w:val="24"/>
          <w:lang w:val="en-US" w:eastAsia="zh-CN" w:bidi="ar-SA"/>
        </w:rPr>
      </w:pPr>
    </w:p>
    <w:p w14:paraId="27346BDA">
      <w:pPr>
        <w:rPr>
          <w:rFonts w:hint="eastAsia" w:asciiTheme="minorHAnsi" w:hAnsiTheme="minorHAnsi" w:eastAsiaTheme="minorEastAsia" w:cstheme="minorBidi"/>
          <w:kern w:val="2"/>
          <w:sz w:val="21"/>
          <w:szCs w:val="24"/>
          <w:lang w:val="en-US" w:eastAsia="zh-CN" w:bidi="ar-SA"/>
        </w:rPr>
      </w:pPr>
    </w:p>
    <w:p w14:paraId="425FE742">
      <w:pPr>
        <w:rPr>
          <w:rFonts w:hint="eastAsia" w:asciiTheme="minorHAnsi" w:hAnsiTheme="minorHAnsi" w:eastAsiaTheme="minorEastAsia" w:cstheme="minorBidi"/>
          <w:kern w:val="2"/>
          <w:sz w:val="21"/>
          <w:szCs w:val="24"/>
          <w:lang w:val="en-US" w:eastAsia="zh-CN" w:bidi="ar-SA"/>
        </w:rPr>
      </w:pPr>
    </w:p>
    <w:p w14:paraId="722A733B">
      <w:pPr>
        <w:rPr>
          <w:rFonts w:hint="eastAsia" w:asciiTheme="minorHAnsi" w:hAnsiTheme="minorHAnsi" w:eastAsiaTheme="minorEastAsia" w:cstheme="minorBidi"/>
          <w:kern w:val="2"/>
          <w:sz w:val="21"/>
          <w:szCs w:val="24"/>
          <w:lang w:val="en-US" w:eastAsia="zh-CN" w:bidi="ar-SA"/>
        </w:rPr>
      </w:pPr>
    </w:p>
    <w:p w14:paraId="405A90BB">
      <w:pPr>
        <w:rPr>
          <w:rFonts w:hint="eastAsia" w:asciiTheme="minorHAnsi" w:hAnsiTheme="minorHAnsi" w:eastAsiaTheme="minorEastAsia" w:cstheme="minorBidi"/>
          <w:kern w:val="2"/>
          <w:sz w:val="21"/>
          <w:szCs w:val="24"/>
          <w:lang w:val="en-US" w:eastAsia="zh-CN" w:bidi="ar-SA"/>
        </w:rPr>
      </w:pPr>
    </w:p>
    <w:p w14:paraId="2AC4BED2">
      <w:pPr>
        <w:rPr>
          <w:rFonts w:hint="eastAsia" w:asciiTheme="minorHAnsi" w:hAnsiTheme="minorHAnsi" w:eastAsiaTheme="minorEastAsia" w:cstheme="minorBidi"/>
          <w:kern w:val="2"/>
          <w:sz w:val="21"/>
          <w:szCs w:val="24"/>
          <w:lang w:val="en-US" w:eastAsia="zh-CN" w:bidi="ar-SA"/>
        </w:rPr>
      </w:pPr>
    </w:p>
    <w:p w14:paraId="26D3A4E7">
      <w:pPr>
        <w:rPr>
          <w:rFonts w:hint="eastAsia" w:asciiTheme="minorHAnsi" w:hAnsiTheme="minorHAnsi" w:eastAsiaTheme="minorEastAsia" w:cstheme="minorBidi"/>
          <w:kern w:val="2"/>
          <w:sz w:val="21"/>
          <w:szCs w:val="24"/>
          <w:lang w:val="en-US" w:eastAsia="zh-CN" w:bidi="ar-SA"/>
        </w:rPr>
      </w:pPr>
    </w:p>
    <w:p w14:paraId="511D4627">
      <w:pPr>
        <w:rPr>
          <w:rFonts w:hint="eastAsia" w:asciiTheme="minorHAnsi" w:hAnsiTheme="minorHAnsi" w:eastAsiaTheme="minorEastAsia" w:cstheme="minorBidi"/>
          <w:kern w:val="2"/>
          <w:sz w:val="21"/>
          <w:szCs w:val="24"/>
          <w:lang w:val="en-US" w:eastAsia="zh-CN" w:bidi="ar-SA"/>
        </w:rPr>
      </w:pPr>
    </w:p>
    <w:p w14:paraId="49B0257B">
      <w:pPr>
        <w:rPr>
          <w:rFonts w:hint="eastAsia" w:asciiTheme="minorHAnsi" w:hAnsiTheme="minorHAnsi" w:eastAsiaTheme="minorEastAsia" w:cstheme="minorBidi"/>
          <w:kern w:val="2"/>
          <w:sz w:val="21"/>
          <w:szCs w:val="24"/>
          <w:lang w:val="en-US" w:eastAsia="zh-CN" w:bidi="ar-SA"/>
        </w:rPr>
      </w:pPr>
    </w:p>
    <w:p w14:paraId="5517F41D">
      <w:pPr>
        <w:rPr>
          <w:rFonts w:hint="eastAsia" w:asciiTheme="minorHAnsi" w:hAnsiTheme="minorHAnsi" w:eastAsiaTheme="minorEastAsia" w:cstheme="minorBidi"/>
          <w:kern w:val="2"/>
          <w:sz w:val="21"/>
          <w:szCs w:val="24"/>
          <w:lang w:val="en-US" w:eastAsia="zh-CN" w:bidi="ar-SA"/>
        </w:rPr>
      </w:pPr>
    </w:p>
    <w:p w14:paraId="6DF1B463">
      <w:pPr>
        <w:rPr>
          <w:rFonts w:hint="eastAsia" w:asciiTheme="minorHAnsi" w:hAnsiTheme="minorHAnsi" w:eastAsiaTheme="minorEastAsia" w:cstheme="minorBidi"/>
          <w:kern w:val="2"/>
          <w:sz w:val="21"/>
          <w:szCs w:val="24"/>
          <w:lang w:val="en-US" w:eastAsia="zh-CN" w:bidi="ar-SA"/>
        </w:rPr>
      </w:pPr>
    </w:p>
    <w:p w14:paraId="2519C069">
      <w:pPr>
        <w:rPr>
          <w:rFonts w:hint="eastAsia" w:asciiTheme="minorHAnsi" w:hAnsiTheme="minorHAnsi" w:eastAsiaTheme="minorEastAsia" w:cstheme="minorBidi"/>
          <w:kern w:val="2"/>
          <w:sz w:val="21"/>
          <w:szCs w:val="24"/>
          <w:lang w:val="en-US" w:eastAsia="zh-CN" w:bidi="ar-SA"/>
        </w:rPr>
      </w:pPr>
    </w:p>
    <w:p w14:paraId="7AF929AA">
      <w:pPr>
        <w:rPr>
          <w:rFonts w:hint="eastAsia" w:asciiTheme="minorHAnsi" w:hAnsiTheme="minorHAnsi" w:eastAsiaTheme="minorEastAsia" w:cstheme="minorBidi"/>
          <w:kern w:val="2"/>
          <w:sz w:val="21"/>
          <w:szCs w:val="24"/>
          <w:lang w:val="en-US" w:eastAsia="zh-CN" w:bidi="ar-SA"/>
        </w:rPr>
      </w:pPr>
    </w:p>
    <w:p w14:paraId="33A879B1">
      <w:pPr>
        <w:rPr>
          <w:rFonts w:hint="eastAsia" w:asciiTheme="minorHAnsi" w:hAnsiTheme="minorHAnsi" w:eastAsiaTheme="minorEastAsia" w:cstheme="minorBidi"/>
          <w:kern w:val="2"/>
          <w:sz w:val="21"/>
          <w:szCs w:val="24"/>
          <w:lang w:val="en-US" w:eastAsia="zh-CN" w:bidi="ar-SA"/>
        </w:rPr>
      </w:pPr>
    </w:p>
    <w:p w14:paraId="38BD17B2">
      <w:pPr>
        <w:rPr>
          <w:rFonts w:hint="eastAsia" w:asciiTheme="minorHAnsi" w:hAnsiTheme="minorHAnsi" w:eastAsiaTheme="minorEastAsia" w:cstheme="minorBidi"/>
          <w:kern w:val="2"/>
          <w:sz w:val="21"/>
          <w:szCs w:val="24"/>
          <w:lang w:val="en-US" w:eastAsia="zh-CN" w:bidi="ar-SA"/>
        </w:rPr>
      </w:pPr>
    </w:p>
    <w:p w14:paraId="3DF383D0">
      <w:pPr>
        <w:rPr>
          <w:rFonts w:hint="eastAsia" w:asciiTheme="minorHAnsi" w:hAnsiTheme="minorHAnsi" w:eastAsiaTheme="minorEastAsia" w:cstheme="minorBidi"/>
          <w:kern w:val="2"/>
          <w:sz w:val="21"/>
          <w:szCs w:val="24"/>
          <w:lang w:val="en-US" w:eastAsia="zh-CN" w:bidi="ar-SA"/>
        </w:rPr>
      </w:pPr>
    </w:p>
    <w:p w14:paraId="1DD8B247">
      <w:pPr>
        <w:rPr>
          <w:rFonts w:hint="eastAsia" w:asciiTheme="minorHAnsi" w:hAnsiTheme="minorHAnsi" w:eastAsiaTheme="minorEastAsia" w:cstheme="minorBidi"/>
          <w:kern w:val="2"/>
          <w:sz w:val="21"/>
          <w:szCs w:val="24"/>
          <w:lang w:val="en-US" w:eastAsia="zh-CN" w:bidi="ar-SA"/>
        </w:rPr>
      </w:pPr>
    </w:p>
    <w:p w14:paraId="1262435E">
      <w:pPr>
        <w:rPr>
          <w:rFonts w:hint="eastAsia" w:asciiTheme="minorHAnsi" w:hAnsiTheme="minorHAnsi" w:eastAsiaTheme="minorEastAsia" w:cstheme="minorBidi"/>
          <w:kern w:val="2"/>
          <w:sz w:val="21"/>
          <w:szCs w:val="24"/>
          <w:lang w:val="en-US" w:eastAsia="zh-CN" w:bidi="ar-SA"/>
        </w:rPr>
      </w:pPr>
    </w:p>
    <w:p w14:paraId="5220AD86">
      <w:pPr>
        <w:rPr>
          <w:rFonts w:hint="eastAsia" w:asciiTheme="minorHAnsi" w:hAnsiTheme="minorHAnsi" w:eastAsiaTheme="minorEastAsia" w:cstheme="minorBidi"/>
          <w:kern w:val="2"/>
          <w:sz w:val="21"/>
          <w:szCs w:val="24"/>
          <w:lang w:val="en-US" w:eastAsia="zh-CN" w:bidi="ar-SA"/>
        </w:rPr>
      </w:pPr>
    </w:p>
    <w:p w14:paraId="16D5F76E">
      <w:pPr>
        <w:rPr>
          <w:rFonts w:hint="eastAsia" w:asciiTheme="minorHAnsi" w:hAnsiTheme="minorHAnsi" w:eastAsiaTheme="minorEastAsia" w:cstheme="minorBidi"/>
          <w:kern w:val="2"/>
          <w:sz w:val="21"/>
          <w:szCs w:val="24"/>
          <w:lang w:val="en-US" w:eastAsia="zh-CN" w:bidi="ar-SA"/>
        </w:rPr>
      </w:pPr>
    </w:p>
    <w:p w14:paraId="57DFF31B">
      <w:pPr>
        <w:rPr>
          <w:rFonts w:hint="eastAsia" w:asciiTheme="minorHAnsi" w:hAnsiTheme="minorHAnsi" w:eastAsiaTheme="minorEastAsia" w:cstheme="minorBidi"/>
          <w:kern w:val="2"/>
          <w:sz w:val="21"/>
          <w:szCs w:val="24"/>
          <w:lang w:val="en-US" w:eastAsia="zh-CN" w:bidi="ar-SA"/>
        </w:rPr>
      </w:pPr>
    </w:p>
    <w:p w14:paraId="62A1AD92">
      <w:pPr>
        <w:rPr>
          <w:rFonts w:hint="eastAsia" w:asciiTheme="minorHAnsi" w:hAnsiTheme="minorHAnsi" w:eastAsiaTheme="minorEastAsia" w:cstheme="minorBidi"/>
          <w:kern w:val="2"/>
          <w:sz w:val="21"/>
          <w:szCs w:val="24"/>
          <w:lang w:val="en-US" w:eastAsia="zh-CN" w:bidi="ar-SA"/>
        </w:rPr>
      </w:pPr>
    </w:p>
    <w:p w14:paraId="48D75E86">
      <w:pPr>
        <w:pStyle w:val="2"/>
        <w:numPr>
          <w:ilvl w:val="0"/>
          <w:numId w:val="0"/>
        </w:numPr>
        <w:spacing w:before="312" w:after="312"/>
        <w:jc w:val="center"/>
        <w:rPr>
          <w:rFonts w:hint="eastAsia" w:eastAsia="宋体" w:cs="Times New Roman"/>
          <w:color w:val="auto"/>
          <w:highlight w:val="none"/>
        </w:rPr>
      </w:pPr>
      <w:bookmarkStart w:id="0" w:name="_Toc961060999"/>
      <w:r>
        <w:rPr>
          <w:rFonts w:hint="eastAsia" w:eastAsia="宋体" w:cs="Times New Roman"/>
          <w:color w:val="auto"/>
          <w:highlight w:val="none"/>
        </w:rPr>
        <w:t>第一章 采购公告</w:t>
      </w:r>
      <w:bookmarkEnd w:id="0"/>
    </w:p>
    <w:p w14:paraId="00A14BC9">
      <w:pPr>
        <w:rPr>
          <w:rFonts w:hint="eastAsia"/>
          <w:b/>
          <w:bCs/>
          <w:sz w:val="24"/>
          <w:szCs w:val="32"/>
        </w:rPr>
      </w:pPr>
      <w:r>
        <w:rPr>
          <w:rFonts w:hint="eastAsia"/>
          <w:b/>
          <w:bCs/>
          <w:sz w:val="24"/>
          <w:szCs w:val="32"/>
          <w:lang w:val="en-US" w:eastAsia="zh-CN"/>
        </w:rPr>
        <w:t>1、</w:t>
      </w:r>
      <w:r>
        <w:rPr>
          <w:rFonts w:hint="eastAsia"/>
          <w:b/>
          <w:bCs/>
          <w:sz w:val="24"/>
          <w:szCs w:val="32"/>
        </w:rPr>
        <w:t>项目简介</w:t>
      </w:r>
    </w:p>
    <w:p w14:paraId="536C6A5D">
      <w:pPr>
        <w:rPr>
          <w:rFonts w:hint="eastAsia"/>
          <w:sz w:val="24"/>
          <w:szCs w:val="32"/>
        </w:rPr>
      </w:pPr>
      <w:r>
        <w:rPr>
          <w:rFonts w:hint="eastAsia"/>
          <w:sz w:val="24"/>
          <w:szCs w:val="32"/>
        </w:rPr>
        <w:t>1.1 项目名称：</w:t>
      </w:r>
      <w:r>
        <w:rPr>
          <w:rFonts w:hint="eastAsia"/>
          <w:sz w:val="24"/>
          <w:szCs w:val="32"/>
          <w:lang w:eastAsia="zh-CN"/>
        </w:rPr>
        <w:t>深圳市云创得力数据有限公司</w:t>
      </w:r>
      <w:r>
        <w:rPr>
          <w:rFonts w:hint="eastAsia"/>
          <w:sz w:val="24"/>
          <w:szCs w:val="32"/>
        </w:rPr>
        <w:t>智能化招投标平台项目</w:t>
      </w:r>
    </w:p>
    <w:p w14:paraId="0D0D7E1C">
      <w:pPr>
        <w:rPr>
          <w:rFonts w:hint="eastAsia" w:eastAsiaTheme="minorEastAsia"/>
          <w:sz w:val="24"/>
          <w:szCs w:val="32"/>
          <w:lang w:eastAsia="zh-CN"/>
        </w:rPr>
      </w:pPr>
      <w:r>
        <w:rPr>
          <w:rFonts w:hint="eastAsia"/>
          <w:sz w:val="24"/>
          <w:szCs w:val="32"/>
        </w:rPr>
        <w:t>1.2 项目编号：</w:t>
      </w:r>
      <w:r>
        <w:rPr>
          <w:rFonts w:hint="eastAsia"/>
          <w:sz w:val="24"/>
          <w:szCs w:val="32"/>
          <w:lang w:val="en-US" w:eastAsia="zh-CN"/>
        </w:rPr>
        <w:t>/</w:t>
      </w:r>
    </w:p>
    <w:p w14:paraId="0998FB5B">
      <w:pPr>
        <w:rPr>
          <w:rFonts w:hint="eastAsia" w:eastAsiaTheme="minorEastAsia"/>
          <w:sz w:val="24"/>
          <w:szCs w:val="32"/>
          <w:lang w:eastAsia="zh-CN"/>
        </w:rPr>
      </w:pPr>
      <w:r>
        <w:rPr>
          <w:rFonts w:hint="eastAsia"/>
          <w:sz w:val="24"/>
          <w:szCs w:val="32"/>
        </w:rPr>
        <w:t>1.3 采购人：</w:t>
      </w:r>
      <w:r>
        <w:rPr>
          <w:rFonts w:hint="eastAsia"/>
          <w:sz w:val="24"/>
          <w:szCs w:val="32"/>
          <w:lang w:eastAsia="zh-CN"/>
        </w:rPr>
        <w:t>深圳市云创得力数据有限公司</w:t>
      </w:r>
    </w:p>
    <w:p w14:paraId="6BA0BFAB">
      <w:pPr>
        <w:rPr>
          <w:rFonts w:hint="eastAsia"/>
          <w:sz w:val="24"/>
          <w:szCs w:val="32"/>
        </w:rPr>
      </w:pPr>
      <w:r>
        <w:rPr>
          <w:rFonts w:hint="eastAsia"/>
          <w:sz w:val="24"/>
          <w:szCs w:val="32"/>
        </w:rPr>
        <w:t>1.4 项目地点：江苏省淮安市</w:t>
      </w:r>
    </w:p>
    <w:p w14:paraId="2C5198E1">
      <w:pPr>
        <w:rPr>
          <w:rFonts w:hint="eastAsia"/>
          <w:b/>
          <w:bCs/>
          <w:sz w:val="24"/>
          <w:szCs w:val="32"/>
        </w:rPr>
      </w:pPr>
      <w:r>
        <w:rPr>
          <w:rFonts w:hint="eastAsia"/>
          <w:b/>
          <w:bCs/>
          <w:sz w:val="24"/>
          <w:szCs w:val="32"/>
          <w:lang w:val="en-US" w:eastAsia="zh-CN"/>
        </w:rPr>
        <w:t>2、</w:t>
      </w:r>
      <w:r>
        <w:rPr>
          <w:rFonts w:hint="eastAsia"/>
          <w:b/>
          <w:bCs/>
          <w:sz w:val="24"/>
          <w:szCs w:val="32"/>
        </w:rPr>
        <w:t>采购说明</w:t>
      </w:r>
    </w:p>
    <w:p w14:paraId="1F642C13">
      <w:pPr>
        <w:rPr>
          <w:rFonts w:hint="eastAsia"/>
          <w:sz w:val="24"/>
          <w:szCs w:val="32"/>
        </w:rPr>
      </w:pPr>
      <w:r>
        <w:rPr>
          <w:rFonts w:hint="eastAsia"/>
          <w:sz w:val="24"/>
          <w:szCs w:val="32"/>
        </w:rPr>
        <w:t>2.1 采购方式：询比采购</w:t>
      </w:r>
    </w:p>
    <w:p w14:paraId="1CD0462C">
      <w:pPr>
        <w:rPr>
          <w:rFonts w:hint="default" w:eastAsiaTheme="minorEastAsia"/>
          <w:sz w:val="24"/>
          <w:szCs w:val="32"/>
          <w:lang w:val="en-US" w:eastAsia="zh-CN"/>
        </w:rPr>
      </w:pPr>
      <w:r>
        <w:rPr>
          <w:rFonts w:hint="eastAsia"/>
          <w:sz w:val="24"/>
          <w:szCs w:val="32"/>
          <w:lang w:val="en-US" w:eastAsia="zh-CN"/>
        </w:rPr>
        <w:t>2.2 采购预算：￥5800000元</w:t>
      </w:r>
    </w:p>
    <w:p w14:paraId="6ADAB3A2">
      <w:pPr>
        <w:rPr>
          <w:rFonts w:hint="eastAsia"/>
          <w:sz w:val="24"/>
          <w:szCs w:val="32"/>
        </w:rPr>
      </w:pPr>
      <w:r>
        <w:rPr>
          <w:rFonts w:hint="eastAsia"/>
          <w:sz w:val="24"/>
          <w:szCs w:val="32"/>
        </w:rPr>
        <w:t>2.</w:t>
      </w:r>
      <w:r>
        <w:rPr>
          <w:rFonts w:hint="eastAsia"/>
          <w:sz w:val="24"/>
          <w:szCs w:val="32"/>
          <w:lang w:val="en-US" w:eastAsia="zh-CN"/>
        </w:rPr>
        <w:t>3</w:t>
      </w:r>
      <w:r>
        <w:rPr>
          <w:rFonts w:hint="eastAsia"/>
          <w:sz w:val="24"/>
          <w:szCs w:val="32"/>
        </w:rPr>
        <w:t xml:space="preserve"> 资金来源及比例：100%企业自筹资金</w:t>
      </w:r>
    </w:p>
    <w:p w14:paraId="2A88C110">
      <w:pPr>
        <w:rPr>
          <w:rFonts w:hint="eastAsia"/>
          <w:sz w:val="24"/>
          <w:szCs w:val="32"/>
        </w:rPr>
      </w:pPr>
      <w:r>
        <w:rPr>
          <w:rFonts w:hint="eastAsia"/>
          <w:sz w:val="24"/>
          <w:szCs w:val="32"/>
        </w:rPr>
        <w:t>2.</w:t>
      </w:r>
      <w:r>
        <w:rPr>
          <w:rFonts w:hint="eastAsia"/>
          <w:sz w:val="24"/>
          <w:szCs w:val="32"/>
          <w:lang w:val="en-US" w:eastAsia="zh-CN"/>
        </w:rPr>
        <w:t>4</w:t>
      </w:r>
      <w:r>
        <w:rPr>
          <w:rFonts w:hint="eastAsia"/>
          <w:sz w:val="24"/>
          <w:szCs w:val="32"/>
        </w:rPr>
        <w:t xml:space="preserve"> 采购范围：一体化AI智能招投标平台全流程建设服务，含公共资源交易核心业务模块、AI办公辅助模块、私有化大模型底座、数据治理、模型调优、系统集成、实施培训、验收质保全服务，不含甲方硬件算力、现有业务系统重构及未开放接口改造，详见第五章采购需求。</w:t>
      </w:r>
    </w:p>
    <w:p w14:paraId="1A14C5DE">
      <w:pPr>
        <w:rPr>
          <w:rFonts w:hint="eastAsia"/>
          <w:sz w:val="24"/>
          <w:szCs w:val="32"/>
        </w:rPr>
      </w:pPr>
      <w:r>
        <w:rPr>
          <w:rFonts w:hint="eastAsia"/>
          <w:sz w:val="24"/>
          <w:szCs w:val="32"/>
        </w:rPr>
        <w:t>2.</w:t>
      </w:r>
      <w:r>
        <w:rPr>
          <w:rFonts w:hint="eastAsia"/>
          <w:sz w:val="24"/>
          <w:szCs w:val="32"/>
          <w:lang w:val="en-US" w:eastAsia="zh-CN"/>
        </w:rPr>
        <w:t>5</w:t>
      </w:r>
      <w:r>
        <w:rPr>
          <w:rFonts w:hint="eastAsia"/>
          <w:sz w:val="24"/>
          <w:szCs w:val="32"/>
        </w:rPr>
        <w:t xml:space="preserve"> 履约期限：合同签订之日起3个月内完成全系统部署、数据初始化、模型调优、接口联调、分层培训、试运行整改，达到初步验收标准；初验后持续优化迭代，直至竣工验收；竣工验收合格后提供1年免费质保服务。</w:t>
      </w:r>
    </w:p>
    <w:p w14:paraId="7DC0F16B">
      <w:pPr>
        <w:rPr>
          <w:rFonts w:hint="eastAsia"/>
          <w:sz w:val="24"/>
          <w:szCs w:val="32"/>
        </w:rPr>
      </w:pPr>
      <w:r>
        <w:rPr>
          <w:rFonts w:hint="eastAsia"/>
          <w:sz w:val="24"/>
          <w:szCs w:val="32"/>
        </w:rPr>
        <w:t>2.</w:t>
      </w:r>
      <w:r>
        <w:rPr>
          <w:rFonts w:hint="eastAsia"/>
          <w:sz w:val="24"/>
          <w:szCs w:val="32"/>
          <w:lang w:val="en-US" w:eastAsia="zh-CN"/>
        </w:rPr>
        <w:t>6</w:t>
      </w:r>
      <w:r>
        <w:rPr>
          <w:rFonts w:hint="eastAsia"/>
          <w:sz w:val="24"/>
          <w:szCs w:val="32"/>
        </w:rPr>
        <w:t xml:space="preserve"> 安全目标：符合等保2.0、数据安全、密码应用、生成式AI管理办法等法规，无数据泄露、网络安全、涉密信息安全责任事故。</w:t>
      </w:r>
    </w:p>
    <w:p w14:paraId="3718538E">
      <w:pPr>
        <w:rPr>
          <w:rFonts w:hint="eastAsia"/>
          <w:sz w:val="24"/>
          <w:szCs w:val="32"/>
        </w:rPr>
      </w:pPr>
      <w:r>
        <w:rPr>
          <w:rFonts w:hint="eastAsia"/>
          <w:sz w:val="24"/>
          <w:szCs w:val="32"/>
        </w:rPr>
        <w:t>2.</w:t>
      </w:r>
      <w:r>
        <w:rPr>
          <w:rFonts w:hint="eastAsia"/>
          <w:sz w:val="24"/>
          <w:szCs w:val="32"/>
          <w:lang w:val="en-US" w:eastAsia="zh-CN"/>
        </w:rPr>
        <w:t>7</w:t>
      </w:r>
      <w:bookmarkStart w:id="31" w:name="_GoBack"/>
      <w:bookmarkEnd w:id="31"/>
      <w:r>
        <w:rPr>
          <w:rFonts w:hint="eastAsia"/>
          <w:sz w:val="24"/>
          <w:szCs w:val="32"/>
        </w:rPr>
        <w:t xml:space="preserve"> 质量要求：完全满足本项目技术需求，所有功能完整落地，私有化、信创、性能、AI识别硬性指标全部达标，验收合格。</w:t>
      </w:r>
    </w:p>
    <w:p w14:paraId="78304DE8">
      <w:pPr>
        <w:rPr>
          <w:rFonts w:hint="eastAsia"/>
          <w:b/>
          <w:bCs/>
          <w:sz w:val="24"/>
          <w:szCs w:val="32"/>
        </w:rPr>
      </w:pPr>
      <w:r>
        <w:rPr>
          <w:rFonts w:hint="eastAsia"/>
          <w:b/>
          <w:bCs/>
          <w:sz w:val="24"/>
          <w:szCs w:val="32"/>
          <w:lang w:val="en-US" w:eastAsia="zh-CN"/>
        </w:rPr>
        <w:t>3、</w:t>
      </w:r>
      <w:r>
        <w:rPr>
          <w:rFonts w:hint="eastAsia"/>
          <w:b/>
          <w:bCs/>
          <w:sz w:val="24"/>
          <w:szCs w:val="32"/>
        </w:rPr>
        <w:t>供应商资格条件</w:t>
      </w:r>
    </w:p>
    <w:p w14:paraId="6626ECB4">
      <w:pPr>
        <w:rPr>
          <w:rFonts w:hint="eastAsia"/>
          <w:sz w:val="24"/>
          <w:szCs w:val="32"/>
        </w:rPr>
      </w:pPr>
      <w:r>
        <w:rPr>
          <w:rFonts w:hint="eastAsia"/>
          <w:sz w:val="24"/>
          <w:szCs w:val="32"/>
        </w:rPr>
        <w:t>3.1 本次采购供应商须同时满足以下条件：</w:t>
      </w:r>
    </w:p>
    <w:p w14:paraId="7065D042">
      <w:pPr>
        <w:rPr>
          <w:rFonts w:hint="eastAsia"/>
          <w:sz w:val="24"/>
          <w:szCs w:val="32"/>
        </w:rPr>
      </w:pPr>
      <w:r>
        <w:rPr>
          <w:rFonts w:hint="eastAsia"/>
          <w:sz w:val="24"/>
          <w:szCs w:val="32"/>
        </w:rPr>
        <w:t>（1）资质要求：具备独立法人资格，持有有效的营业执照；分支机构参与须提供总公司独立法人授权委托书。经营范围包含人工智能、大数据、政务/公共资源交易系统软件开发、信息化集成相关内容。</w:t>
      </w:r>
    </w:p>
    <w:p w14:paraId="4B7AFD78">
      <w:pPr>
        <w:rPr>
          <w:rFonts w:hint="eastAsia"/>
          <w:sz w:val="24"/>
          <w:szCs w:val="32"/>
        </w:rPr>
      </w:pPr>
      <w:r>
        <w:rPr>
          <w:rFonts w:hint="eastAsia"/>
          <w:sz w:val="24"/>
          <w:szCs w:val="32"/>
        </w:rPr>
        <w:t>（2）信誉要求：</w:t>
      </w:r>
    </w:p>
    <w:p w14:paraId="37655507">
      <w:pPr>
        <w:rPr>
          <w:rFonts w:hint="eastAsia"/>
          <w:sz w:val="24"/>
          <w:szCs w:val="32"/>
        </w:rPr>
      </w:pPr>
      <w:r>
        <w:rPr>
          <w:rFonts w:hint="eastAsia"/>
          <w:sz w:val="24"/>
          <w:szCs w:val="32"/>
        </w:rPr>
        <w:t>① 未被责令停业、暂扣/吊销营业执照、资质证书；</w:t>
      </w:r>
    </w:p>
    <w:p w14:paraId="7AD713B5">
      <w:pPr>
        <w:rPr>
          <w:rFonts w:hint="eastAsia"/>
          <w:sz w:val="24"/>
          <w:szCs w:val="32"/>
        </w:rPr>
      </w:pPr>
      <w:r>
        <w:rPr>
          <w:rFonts w:hint="eastAsia"/>
          <w:sz w:val="24"/>
          <w:szCs w:val="32"/>
        </w:rPr>
        <w:t>② 未进入清算、破产程序，无丧失履约能力情形；</w:t>
      </w:r>
    </w:p>
    <w:p w14:paraId="0BCDEE6A">
      <w:pPr>
        <w:rPr>
          <w:rFonts w:hint="eastAsia"/>
          <w:sz w:val="24"/>
          <w:szCs w:val="32"/>
        </w:rPr>
      </w:pPr>
      <w:r>
        <w:rPr>
          <w:rFonts w:hint="eastAsia"/>
          <w:sz w:val="24"/>
          <w:szCs w:val="32"/>
        </w:rPr>
        <w:t>③ 国家企业信用信息公示系统无严重违法失信企业名单记录；</w:t>
      </w:r>
    </w:p>
    <w:p w14:paraId="77C35717">
      <w:pPr>
        <w:rPr>
          <w:rFonts w:hint="eastAsia"/>
          <w:sz w:val="24"/>
          <w:szCs w:val="32"/>
        </w:rPr>
      </w:pPr>
      <w:r>
        <w:rPr>
          <w:rFonts w:hint="eastAsia"/>
          <w:sz w:val="24"/>
          <w:szCs w:val="32"/>
        </w:rPr>
        <w:t>④ 中国执行信息公开网无失信被执行人记录；</w:t>
      </w:r>
    </w:p>
    <w:p w14:paraId="549803E0">
      <w:pPr>
        <w:rPr>
          <w:rFonts w:hint="eastAsia"/>
          <w:sz w:val="24"/>
          <w:szCs w:val="32"/>
        </w:rPr>
      </w:pPr>
      <w:r>
        <w:rPr>
          <w:rFonts w:hint="eastAsia"/>
          <w:sz w:val="24"/>
          <w:szCs w:val="32"/>
        </w:rPr>
        <w:t>⑤ 近3年内供应商及法定代表人无行贿犯罪记录；</w:t>
      </w:r>
    </w:p>
    <w:p w14:paraId="6EE083AF">
      <w:pPr>
        <w:rPr>
          <w:rFonts w:hint="eastAsia"/>
          <w:sz w:val="24"/>
          <w:szCs w:val="32"/>
        </w:rPr>
      </w:pPr>
      <w:r>
        <w:rPr>
          <w:rFonts w:hint="eastAsia"/>
          <w:sz w:val="24"/>
          <w:szCs w:val="32"/>
        </w:rPr>
        <w:t>（3）业绩要求：近3年（响应截止日前36个月）具备至少1项公共资源交易/政府采购智能化平台或私有化本地大模型招投标系统开发实施同类项目业绩（提供合同扫描件+验收证明</w:t>
      </w:r>
      <w:r>
        <w:rPr>
          <w:rFonts w:hint="eastAsia"/>
          <w:sz w:val="24"/>
          <w:szCs w:val="32"/>
          <w:lang w:val="en-US" w:eastAsia="zh-CN"/>
        </w:rPr>
        <w:t>/结算发票</w:t>
      </w:r>
      <w:r>
        <w:rPr>
          <w:rFonts w:hint="eastAsia"/>
          <w:sz w:val="24"/>
          <w:szCs w:val="32"/>
        </w:rPr>
        <w:t>）；</w:t>
      </w:r>
    </w:p>
    <w:p w14:paraId="6E8A3073">
      <w:pPr>
        <w:rPr>
          <w:rFonts w:hint="eastAsia"/>
          <w:sz w:val="24"/>
          <w:szCs w:val="32"/>
        </w:rPr>
      </w:pPr>
      <w:r>
        <w:rPr>
          <w:rFonts w:hint="eastAsia"/>
          <w:sz w:val="24"/>
          <w:szCs w:val="32"/>
        </w:rPr>
        <w:t>（4）技术能力：具备私有化大模型本地化部署、向量库建设、信创适配、政务内网安全开发实施能力，可提供相关软件著作权或技术证明材料。</w:t>
      </w:r>
    </w:p>
    <w:p w14:paraId="59621E31">
      <w:pPr>
        <w:rPr>
          <w:rFonts w:hint="eastAsia"/>
          <w:sz w:val="24"/>
          <w:szCs w:val="32"/>
        </w:rPr>
      </w:pPr>
      <w:r>
        <w:rPr>
          <w:rFonts w:hint="eastAsia"/>
          <w:sz w:val="24"/>
          <w:szCs w:val="32"/>
        </w:rPr>
        <w:t>3.2 联合体：本项目不接受联合体报价。</w:t>
      </w:r>
    </w:p>
    <w:p w14:paraId="39B892A7">
      <w:pPr>
        <w:rPr>
          <w:rFonts w:hint="eastAsia"/>
          <w:sz w:val="24"/>
          <w:szCs w:val="32"/>
        </w:rPr>
      </w:pPr>
      <w:r>
        <w:rPr>
          <w:rFonts w:hint="eastAsia"/>
          <w:sz w:val="24"/>
          <w:szCs w:val="32"/>
        </w:rPr>
        <w:t>3.3 单位负责人为同一人或存在控股、管理关系的不同单位，不得同时参与本项目报价，否则全部响应文件无效。</w:t>
      </w:r>
    </w:p>
    <w:p w14:paraId="731364CA">
      <w:pPr>
        <w:rPr>
          <w:rFonts w:hint="eastAsia"/>
          <w:b/>
          <w:bCs/>
          <w:sz w:val="24"/>
          <w:szCs w:val="32"/>
        </w:rPr>
      </w:pPr>
      <w:r>
        <w:rPr>
          <w:rFonts w:hint="eastAsia"/>
          <w:b/>
          <w:bCs/>
          <w:sz w:val="24"/>
          <w:szCs w:val="32"/>
          <w:lang w:val="en-US" w:eastAsia="zh-CN"/>
        </w:rPr>
        <w:t>4、</w:t>
      </w:r>
      <w:r>
        <w:rPr>
          <w:rFonts w:hint="eastAsia"/>
          <w:b/>
          <w:bCs/>
          <w:sz w:val="24"/>
          <w:szCs w:val="32"/>
        </w:rPr>
        <w:t>响应文件递交</w:t>
      </w:r>
    </w:p>
    <w:p w14:paraId="167CA174">
      <w:pPr>
        <w:rPr>
          <w:rFonts w:hint="eastAsia"/>
          <w:sz w:val="24"/>
          <w:szCs w:val="32"/>
        </w:rPr>
      </w:pPr>
      <w:r>
        <w:rPr>
          <w:rFonts w:hint="eastAsia"/>
          <w:sz w:val="24"/>
          <w:szCs w:val="32"/>
          <w:lang w:val="en-US" w:eastAsia="zh-CN"/>
        </w:rPr>
        <w:t>4</w:t>
      </w:r>
      <w:r>
        <w:rPr>
          <w:rFonts w:hint="eastAsia"/>
          <w:sz w:val="24"/>
          <w:szCs w:val="32"/>
        </w:rPr>
        <w:t>.1 递交截止时间：</w:t>
      </w:r>
      <w:r>
        <w:rPr>
          <w:rFonts w:hint="eastAsia"/>
          <w:sz w:val="24"/>
          <w:szCs w:val="32"/>
          <w:lang w:eastAsia="zh-CN"/>
        </w:rPr>
        <w:t>即日起至</w:t>
      </w:r>
      <w:r>
        <w:rPr>
          <w:rFonts w:hint="eastAsia"/>
          <w:sz w:val="24"/>
          <w:szCs w:val="32"/>
          <w:lang w:val="en-US" w:eastAsia="zh-CN"/>
        </w:rPr>
        <w:t>2026年8月12日18：00</w:t>
      </w:r>
      <w:r>
        <w:rPr>
          <w:rFonts w:hint="eastAsia"/>
          <w:sz w:val="24"/>
          <w:szCs w:val="32"/>
        </w:rPr>
        <w:t>，线上电子化递交，无需现场递交纸质文件。</w:t>
      </w:r>
    </w:p>
    <w:p w14:paraId="47367482">
      <w:pPr>
        <w:rPr>
          <w:rFonts w:hint="eastAsia"/>
          <w:sz w:val="24"/>
          <w:szCs w:val="32"/>
        </w:rPr>
      </w:pPr>
      <w:r>
        <w:rPr>
          <w:rFonts w:hint="eastAsia"/>
          <w:sz w:val="24"/>
          <w:szCs w:val="32"/>
          <w:lang w:val="en-US" w:eastAsia="zh-CN"/>
        </w:rPr>
        <w:t>4</w:t>
      </w:r>
      <w:r>
        <w:rPr>
          <w:rFonts w:hint="eastAsia"/>
          <w:sz w:val="24"/>
          <w:szCs w:val="32"/>
        </w:rPr>
        <w:t>.2 响应有效期：自递交截止之日起90日历天。</w:t>
      </w:r>
    </w:p>
    <w:p w14:paraId="34328031">
      <w:pPr>
        <w:rPr>
          <w:rFonts w:hint="eastAsia"/>
          <w:sz w:val="24"/>
          <w:szCs w:val="32"/>
        </w:rPr>
      </w:pPr>
      <w:r>
        <w:rPr>
          <w:rFonts w:hint="eastAsia"/>
          <w:sz w:val="24"/>
          <w:szCs w:val="32"/>
          <w:lang w:val="en-US" w:eastAsia="zh-CN"/>
        </w:rPr>
        <w:t>4</w:t>
      </w:r>
      <w:r>
        <w:rPr>
          <w:rFonts w:hint="eastAsia"/>
          <w:sz w:val="24"/>
          <w:szCs w:val="32"/>
        </w:rPr>
        <w:t>.3 无效报价情形：逾期</w:t>
      </w:r>
      <w:r>
        <w:rPr>
          <w:rFonts w:hint="eastAsia"/>
          <w:sz w:val="24"/>
          <w:szCs w:val="32"/>
          <w:lang w:eastAsia="zh-CN"/>
        </w:rPr>
        <w:t>递交</w:t>
      </w:r>
      <w:r>
        <w:rPr>
          <w:rFonts w:hint="eastAsia"/>
          <w:sz w:val="24"/>
          <w:szCs w:val="32"/>
        </w:rPr>
        <w:t>、文件缺失关键材料、未实质性响应全部约束条款、资质业绩不满足要求、存在虚假材料。</w:t>
      </w:r>
    </w:p>
    <w:p w14:paraId="7DE240F3">
      <w:pPr>
        <w:rPr>
          <w:rFonts w:hint="eastAsia"/>
          <w:b/>
          <w:bCs/>
          <w:sz w:val="24"/>
          <w:szCs w:val="32"/>
        </w:rPr>
      </w:pPr>
      <w:r>
        <w:rPr>
          <w:rFonts w:hint="eastAsia"/>
          <w:b/>
          <w:bCs/>
          <w:sz w:val="24"/>
          <w:szCs w:val="32"/>
          <w:lang w:val="en-US" w:eastAsia="zh-CN"/>
        </w:rPr>
        <w:t>6、</w:t>
      </w:r>
      <w:r>
        <w:rPr>
          <w:rFonts w:hint="eastAsia"/>
          <w:b/>
          <w:bCs/>
          <w:sz w:val="24"/>
          <w:szCs w:val="32"/>
        </w:rPr>
        <w:t>响应文件启封</w:t>
      </w:r>
    </w:p>
    <w:p w14:paraId="2C2C11D8">
      <w:pPr>
        <w:rPr>
          <w:rFonts w:hint="eastAsia"/>
          <w:sz w:val="24"/>
          <w:szCs w:val="32"/>
        </w:rPr>
      </w:pPr>
      <w:r>
        <w:rPr>
          <w:rFonts w:hint="eastAsia"/>
          <w:sz w:val="24"/>
          <w:szCs w:val="32"/>
        </w:rPr>
        <w:t>递交截止后采购人线上统一组织响应文件启封，全程留痕可追溯。</w:t>
      </w:r>
    </w:p>
    <w:p w14:paraId="7EC34EF8">
      <w:pPr>
        <w:rPr>
          <w:rFonts w:hint="eastAsia"/>
          <w:b/>
          <w:bCs/>
          <w:sz w:val="24"/>
          <w:szCs w:val="32"/>
        </w:rPr>
      </w:pPr>
      <w:r>
        <w:rPr>
          <w:rFonts w:hint="eastAsia"/>
          <w:b/>
          <w:bCs/>
          <w:sz w:val="24"/>
          <w:szCs w:val="32"/>
          <w:lang w:val="en-US" w:eastAsia="zh-CN"/>
        </w:rPr>
        <w:t>7、</w:t>
      </w:r>
      <w:r>
        <w:rPr>
          <w:rFonts w:hint="eastAsia"/>
          <w:b/>
          <w:bCs/>
          <w:sz w:val="24"/>
          <w:szCs w:val="32"/>
        </w:rPr>
        <w:t>联系方式</w:t>
      </w:r>
    </w:p>
    <w:p w14:paraId="39F968FB">
      <w:pPr>
        <w:rPr>
          <w:rFonts w:hint="eastAsia" w:eastAsiaTheme="minorEastAsia"/>
          <w:sz w:val="24"/>
          <w:szCs w:val="32"/>
          <w:highlight w:val="none"/>
          <w:lang w:eastAsia="zh-CN"/>
        </w:rPr>
      </w:pPr>
      <w:r>
        <w:rPr>
          <w:rFonts w:hint="eastAsia"/>
          <w:sz w:val="24"/>
          <w:szCs w:val="32"/>
        </w:rPr>
        <w:t>采购人</w:t>
      </w:r>
      <w:r>
        <w:rPr>
          <w:rFonts w:hint="eastAsia"/>
          <w:sz w:val="24"/>
          <w:szCs w:val="32"/>
          <w:highlight w:val="none"/>
        </w:rPr>
        <w:t>：</w:t>
      </w:r>
      <w:r>
        <w:rPr>
          <w:rFonts w:hint="eastAsia"/>
          <w:sz w:val="24"/>
          <w:szCs w:val="32"/>
          <w:highlight w:val="none"/>
          <w:lang w:eastAsia="zh-CN"/>
        </w:rPr>
        <w:t>深圳市云创得力数据有限公司</w:t>
      </w:r>
    </w:p>
    <w:p w14:paraId="7A76C874">
      <w:pPr>
        <w:rPr>
          <w:rFonts w:hint="eastAsia"/>
          <w:sz w:val="24"/>
          <w:szCs w:val="32"/>
          <w:highlight w:val="none"/>
        </w:rPr>
      </w:pPr>
      <w:r>
        <w:rPr>
          <w:rFonts w:hint="eastAsia"/>
          <w:sz w:val="24"/>
          <w:szCs w:val="32"/>
          <w:highlight w:val="none"/>
        </w:rPr>
        <w:t>商务联系人：</w:t>
      </w:r>
      <w:r>
        <w:rPr>
          <w:rFonts w:hint="eastAsia"/>
          <w:sz w:val="24"/>
          <w:szCs w:val="32"/>
          <w:highlight w:val="none"/>
          <w:lang w:eastAsia="zh-CN"/>
        </w:rPr>
        <w:t>郑强</w:t>
      </w:r>
      <w:r>
        <w:rPr>
          <w:rFonts w:hint="eastAsia"/>
          <w:sz w:val="24"/>
          <w:szCs w:val="32"/>
          <w:highlight w:val="none"/>
        </w:rPr>
        <w:t xml:space="preserve"> 技术联系人：王工</w:t>
      </w:r>
    </w:p>
    <w:p w14:paraId="03CE37E0">
      <w:pPr>
        <w:rPr>
          <w:rFonts w:hint="eastAsia"/>
          <w:sz w:val="24"/>
          <w:szCs w:val="32"/>
          <w:highlight w:val="none"/>
        </w:rPr>
      </w:pPr>
      <w:r>
        <w:rPr>
          <w:rFonts w:hint="eastAsia"/>
          <w:sz w:val="24"/>
          <w:szCs w:val="32"/>
          <w:highlight w:val="none"/>
        </w:rPr>
        <w:t>联系电话：17665012605</w:t>
      </w:r>
    </w:p>
    <w:p w14:paraId="051D4AD5">
      <w:pPr>
        <w:rPr>
          <w:rFonts w:hint="eastAsia"/>
          <w:sz w:val="24"/>
          <w:szCs w:val="32"/>
          <w:highlight w:val="none"/>
        </w:rPr>
      </w:pPr>
      <w:r>
        <w:rPr>
          <w:rFonts w:hint="eastAsia"/>
          <w:sz w:val="24"/>
          <w:szCs w:val="32"/>
          <w:highlight w:val="none"/>
        </w:rPr>
        <w:t>电子邮箱：zhengqiang1226@foxmail.com</w:t>
      </w:r>
    </w:p>
    <w:p w14:paraId="3B576032">
      <w:pPr>
        <w:rPr>
          <w:rFonts w:hint="eastAsia"/>
        </w:rPr>
      </w:pPr>
    </w:p>
    <w:p w14:paraId="6FB463BA">
      <w:pPr>
        <w:rPr>
          <w:rFonts w:hint="eastAsia"/>
        </w:rPr>
      </w:pPr>
    </w:p>
    <w:p w14:paraId="55C4A602">
      <w:pPr>
        <w:rPr>
          <w:rFonts w:hint="eastAsia"/>
        </w:rPr>
      </w:pPr>
    </w:p>
    <w:p w14:paraId="0A447C98">
      <w:pPr>
        <w:rPr>
          <w:rFonts w:hint="eastAsia"/>
        </w:rPr>
      </w:pPr>
    </w:p>
    <w:p w14:paraId="45DD27E4">
      <w:pPr>
        <w:rPr>
          <w:rFonts w:hint="eastAsia"/>
        </w:rPr>
      </w:pPr>
    </w:p>
    <w:p w14:paraId="5966399F">
      <w:pPr>
        <w:rPr>
          <w:rFonts w:hint="eastAsia"/>
        </w:rPr>
      </w:pPr>
    </w:p>
    <w:p w14:paraId="45CBF9BD">
      <w:pPr>
        <w:rPr>
          <w:rFonts w:hint="eastAsia"/>
        </w:rPr>
      </w:pPr>
    </w:p>
    <w:p w14:paraId="1EBF9D5E">
      <w:pPr>
        <w:rPr>
          <w:rFonts w:hint="eastAsia"/>
        </w:rPr>
      </w:pPr>
    </w:p>
    <w:p w14:paraId="47850088">
      <w:pPr>
        <w:rPr>
          <w:rFonts w:hint="eastAsia"/>
        </w:rPr>
      </w:pPr>
    </w:p>
    <w:p w14:paraId="24BD8C0A">
      <w:pPr>
        <w:rPr>
          <w:rFonts w:hint="eastAsia"/>
        </w:rPr>
      </w:pPr>
    </w:p>
    <w:p w14:paraId="61E0CDA9">
      <w:pPr>
        <w:rPr>
          <w:rFonts w:hint="eastAsia"/>
        </w:rPr>
      </w:pPr>
    </w:p>
    <w:p w14:paraId="2ED70C6F">
      <w:pPr>
        <w:rPr>
          <w:rFonts w:hint="eastAsia"/>
        </w:rPr>
      </w:pPr>
    </w:p>
    <w:p w14:paraId="430C53D1">
      <w:pPr>
        <w:rPr>
          <w:rFonts w:hint="eastAsia"/>
        </w:rPr>
      </w:pPr>
    </w:p>
    <w:p w14:paraId="0F938BDB">
      <w:pPr>
        <w:rPr>
          <w:rFonts w:hint="eastAsia"/>
        </w:rPr>
      </w:pPr>
    </w:p>
    <w:p w14:paraId="6B71F677">
      <w:pPr>
        <w:rPr>
          <w:rFonts w:hint="eastAsia"/>
        </w:rPr>
      </w:pPr>
    </w:p>
    <w:p w14:paraId="598EEC4B">
      <w:pPr>
        <w:rPr>
          <w:rFonts w:hint="eastAsia"/>
        </w:rPr>
      </w:pPr>
    </w:p>
    <w:p w14:paraId="32C702D1">
      <w:pPr>
        <w:rPr>
          <w:rFonts w:hint="eastAsia"/>
        </w:rPr>
      </w:pPr>
    </w:p>
    <w:p w14:paraId="2078D9F8">
      <w:pPr>
        <w:rPr>
          <w:rFonts w:hint="eastAsia"/>
        </w:rPr>
      </w:pPr>
    </w:p>
    <w:p w14:paraId="63EDBB1B">
      <w:pPr>
        <w:rPr>
          <w:rFonts w:hint="eastAsia"/>
        </w:rPr>
      </w:pPr>
    </w:p>
    <w:p w14:paraId="6301876B">
      <w:pPr>
        <w:rPr>
          <w:rFonts w:hint="eastAsia"/>
        </w:rPr>
      </w:pPr>
    </w:p>
    <w:p w14:paraId="59C1F841">
      <w:pPr>
        <w:rPr>
          <w:rFonts w:hint="eastAsia"/>
        </w:rPr>
      </w:pPr>
    </w:p>
    <w:p w14:paraId="639F1FE1">
      <w:pPr>
        <w:rPr>
          <w:rFonts w:hint="eastAsia"/>
        </w:rPr>
      </w:pPr>
    </w:p>
    <w:p w14:paraId="7D6A3379">
      <w:pPr>
        <w:rPr>
          <w:rFonts w:hint="eastAsia"/>
        </w:rPr>
      </w:pPr>
    </w:p>
    <w:p w14:paraId="04BBA176">
      <w:pPr>
        <w:rPr>
          <w:rFonts w:hint="eastAsia"/>
        </w:rPr>
      </w:pPr>
    </w:p>
    <w:p w14:paraId="6CAC7A56">
      <w:pPr>
        <w:rPr>
          <w:rFonts w:hint="eastAsia"/>
        </w:rPr>
      </w:pPr>
    </w:p>
    <w:p w14:paraId="7646D257">
      <w:pPr>
        <w:rPr>
          <w:rFonts w:hint="eastAsia"/>
        </w:rPr>
      </w:pPr>
    </w:p>
    <w:p w14:paraId="1CDDF07D">
      <w:pPr>
        <w:rPr>
          <w:rFonts w:hint="eastAsia"/>
        </w:rPr>
      </w:pPr>
    </w:p>
    <w:p w14:paraId="1B772BD2">
      <w:pPr>
        <w:rPr>
          <w:rFonts w:hint="eastAsia"/>
        </w:rPr>
      </w:pPr>
    </w:p>
    <w:p w14:paraId="763F9CE5">
      <w:pPr>
        <w:jc w:val="center"/>
        <w:outlineLvl w:val="0"/>
        <w:rPr>
          <w:rFonts w:hint="eastAsia"/>
        </w:rPr>
      </w:pPr>
      <w:bookmarkStart w:id="1" w:name="_Toc177997492"/>
      <w:r>
        <w:rPr>
          <w:rFonts w:hint="eastAsia" w:ascii="Times New Roman" w:hAnsi="Times New Roman" w:eastAsia="宋体" w:cs="Times New Roman"/>
          <w:b/>
          <w:bCs/>
          <w:color w:val="auto"/>
          <w:kern w:val="44"/>
          <w:sz w:val="40"/>
          <w:szCs w:val="44"/>
          <w:highlight w:val="none"/>
          <w:lang w:val="en-US" w:eastAsia="zh-CN" w:bidi="ar-SA"/>
        </w:rPr>
        <w:t>第二章 供应商须知</w:t>
      </w:r>
      <w:bookmarkEnd w:id="1"/>
    </w:p>
    <w:p w14:paraId="2DE7F9CE">
      <w:pPr>
        <w:pStyle w:val="3"/>
        <w:numPr>
          <w:ilvl w:val="0"/>
          <w:numId w:val="0"/>
        </w:numPr>
        <w:snapToGrid w:val="0"/>
        <w:spacing w:before="312" w:after="312" w:line="240" w:lineRule="auto"/>
        <w:rPr>
          <w:rFonts w:hint="eastAsia" w:eastAsia="宋体" w:cs="宋体"/>
          <w:color w:val="auto"/>
          <w:szCs w:val="28"/>
          <w:highlight w:val="none"/>
        </w:rPr>
      </w:pPr>
      <w:r>
        <w:rPr>
          <w:rFonts w:hint="eastAsia" w:eastAsia="宋体" w:cs="宋体"/>
          <w:color w:val="auto"/>
          <w:szCs w:val="28"/>
          <w:highlight w:val="none"/>
        </w:rPr>
        <w:t>供应商须知前附表</w:t>
      </w:r>
    </w:p>
    <w:tbl>
      <w:tblPr>
        <w:tblStyle w:val="15"/>
        <w:tblW w:w="96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746"/>
        <w:gridCol w:w="1843"/>
        <w:gridCol w:w="7087"/>
      </w:tblGrid>
      <w:tr w14:paraId="5EB47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blHeader/>
          <w:jc w:val="center"/>
        </w:trPr>
        <w:tc>
          <w:tcPr>
            <w:tcW w:w="746" w:type="dxa"/>
            <w:noWrap w:val="0"/>
            <w:vAlign w:val="center"/>
          </w:tcPr>
          <w:p w14:paraId="77A8E5A5">
            <w:pPr>
              <w:widowControl/>
              <w:adjustRightInd w:val="0"/>
              <w:snapToGrid w:val="0"/>
              <w:spacing w:line="300" w:lineRule="auto"/>
              <w:jc w:val="center"/>
              <w:rPr>
                <w:rFonts w:ascii="宋体" w:hAnsi="宋体"/>
                <w:b/>
                <w:color w:val="auto"/>
                <w:szCs w:val="21"/>
                <w:highlight w:val="none"/>
              </w:rPr>
            </w:pPr>
            <w:r>
              <w:rPr>
                <w:rFonts w:ascii="宋体" w:hAnsi="宋体"/>
                <w:b/>
                <w:color w:val="auto"/>
                <w:szCs w:val="21"/>
                <w:highlight w:val="none"/>
              </w:rPr>
              <w:t>序号</w:t>
            </w:r>
          </w:p>
        </w:tc>
        <w:tc>
          <w:tcPr>
            <w:tcW w:w="1843" w:type="dxa"/>
            <w:noWrap w:val="0"/>
            <w:vAlign w:val="center"/>
          </w:tcPr>
          <w:p w14:paraId="728F2F97">
            <w:pPr>
              <w:widowControl/>
              <w:adjustRightInd w:val="0"/>
              <w:snapToGrid w:val="0"/>
              <w:spacing w:line="300" w:lineRule="auto"/>
              <w:jc w:val="center"/>
              <w:rPr>
                <w:rFonts w:ascii="宋体" w:hAnsi="宋体"/>
                <w:b/>
                <w:color w:val="auto"/>
                <w:szCs w:val="21"/>
                <w:highlight w:val="none"/>
              </w:rPr>
            </w:pPr>
            <w:r>
              <w:rPr>
                <w:rFonts w:ascii="宋体" w:hAnsi="宋体"/>
                <w:b/>
                <w:color w:val="auto"/>
                <w:szCs w:val="21"/>
                <w:highlight w:val="none"/>
              </w:rPr>
              <w:t>条款名称</w:t>
            </w:r>
          </w:p>
        </w:tc>
        <w:tc>
          <w:tcPr>
            <w:tcW w:w="7087" w:type="dxa"/>
            <w:noWrap w:val="0"/>
            <w:vAlign w:val="center"/>
          </w:tcPr>
          <w:p w14:paraId="54FD76D8">
            <w:pPr>
              <w:widowControl/>
              <w:adjustRightInd w:val="0"/>
              <w:snapToGrid w:val="0"/>
              <w:spacing w:line="300" w:lineRule="auto"/>
              <w:jc w:val="center"/>
              <w:rPr>
                <w:rFonts w:ascii="宋体" w:hAnsi="宋体"/>
                <w:b/>
                <w:color w:val="auto"/>
                <w:szCs w:val="21"/>
                <w:highlight w:val="none"/>
              </w:rPr>
            </w:pPr>
            <w:r>
              <w:rPr>
                <w:rFonts w:hint="eastAsia" w:ascii="宋体" w:hAnsi="宋体"/>
                <w:b/>
                <w:color w:val="auto"/>
                <w:szCs w:val="21"/>
                <w:highlight w:val="none"/>
              </w:rPr>
              <w:t>内容、说明与要求</w:t>
            </w:r>
          </w:p>
        </w:tc>
      </w:tr>
      <w:tr w14:paraId="122CB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296" w:hRule="atLeast"/>
          <w:jc w:val="center"/>
        </w:trPr>
        <w:tc>
          <w:tcPr>
            <w:tcW w:w="746" w:type="dxa"/>
            <w:noWrap w:val="0"/>
            <w:vAlign w:val="center"/>
          </w:tcPr>
          <w:p w14:paraId="5DE08A66">
            <w:pPr>
              <w:widowControl/>
              <w:adjustRightInd w:val="0"/>
              <w:snapToGrid w:val="0"/>
              <w:spacing w:line="300" w:lineRule="auto"/>
              <w:jc w:val="center"/>
              <w:rPr>
                <w:rFonts w:ascii="宋体" w:hAnsi="宋体"/>
                <w:color w:val="auto"/>
                <w:sz w:val="24"/>
                <w:highlight w:val="none"/>
              </w:rPr>
            </w:pPr>
            <w:r>
              <w:rPr>
                <w:rFonts w:hint="eastAsia" w:ascii="宋体" w:hAnsi="宋体"/>
                <w:color w:val="auto"/>
                <w:sz w:val="24"/>
                <w:highlight w:val="none"/>
              </w:rPr>
              <w:t>1</w:t>
            </w:r>
          </w:p>
        </w:tc>
        <w:tc>
          <w:tcPr>
            <w:tcW w:w="1843" w:type="dxa"/>
            <w:noWrap w:val="0"/>
            <w:vAlign w:val="center"/>
          </w:tcPr>
          <w:p w14:paraId="5778DC37">
            <w:pPr>
              <w:widowControl/>
              <w:adjustRightInd w:val="0"/>
              <w:snapToGrid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成交供应商确定原则</w:t>
            </w:r>
          </w:p>
        </w:tc>
        <w:tc>
          <w:tcPr>
            <w:tcW w:w="7087" w:type="dxa"/>
            <w:noWrap w:val="0"/>
            <w:vAlign w:val="center"/>
          </w:tcPr>
          <w:p w14:paraId="5F6444D5">
            <w:pPr>
              <w:widowControl/>
              <w:adjustRightInd w:val="0"/>
              <w:snapToGrid w:val="0"/>
              <w:spacing w:line="300" w:lineRule="auto"/>
              <w:jc w:val="left"/>
              <w:rPr>
                <w:rFonts w:hint="eastAsia" w:ascii="宋体" w:hAnsi="宋体" w:cs="宋体"/>
                <w:color w:val="auto"/>
                <w:sz w:val="24"/>
                <w:highlight w:val="none"/>
              </w:rPr>
            </w:pPr>
            <w:r>
              <w:rPr>
                <w:rFonts w:hint="eastAsia" w:ascii="宋体" w:hAnsi="宋体" w:cs="宋体"/>
                <w:color w:val="auto"/>
                <w:sz w:val="24"/>
                <w:highlight w:val="none"/>
              </w:rPr>
              <w:t>成交原则：综合评分法，评审小组对满足询比文件实质性要求的响应文件，按综合得分从高到低推荐1名成交候选人。如报价相同的，以递交响应文件在前的优先。</w:t>
            </w:r>
          </w:p>
          <w:p w14:paraId="43C54494">
            <w:pPr>
              <w:widowControl/>
              <w:adjustRightInd w:val="0"/>
              <w:jc w:val="left"/>
              <w:rPr>
                <w:rFonts w:hint="eastAsia" w:ascii="宋体" w:hAnsi="宋体" w:cs="宋体"/>
                <w:color w:val="auto"/>
                <w:sz w:val="24"/>
                <w:highlight w:val="none"/>
              </w:rPr>
            </w:pPr>
            <w:r>
              <w:rPr>
                <w:rFonts w:hint="eastAsia" w:ascii="宋体" w:hAnsi="宋体" w:cs="宋体"/>
                <w:color w:val="auto"/>
                <w:sz w:val="24"/>
                <w:highlight w:val="none"/>
              </w:rPr>
              <w:t>成交供应商数量：1家。</w:t>
            </w:r>
          </w:p>
          <w:p w14:paraId="38F21DCE">
            <w:pPr>
              <w:widowControl/>
              <w:adjustRightInd w:val="0"/>
              <w:jc w:val="left"/>
              <w:rPr>
                <w:rFonts w:hint="eastAsia"/>
                <w:color w:val="auto"/>
                <w:highlight w:val="none"/>
              </w:rPr>
            </w:pPr>
            <w:r>
              <w:rPr>
                <w:rFonts w:hint="eastAsia" w:ascii="宋体" w:hAnsi="宋体" w:cs="宋体"/>
                <w:color w:val="auto"/>
                <w:sz w:val="24"/>
                <w:highlight w:val="none"/>
              </w:rPr>
              <w:t>如本项目有效供应商数量不足3家，则本次采购失败。</w:t>
            </w:r>
          </w:p>
        </w:tc>
      </w:tr>
      <w:tr w14:paraId="15EFE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099" w:hRule="atLeast"/>
          <w:jc w:val="center"/>
        </w:trPr>
        <w:tc>
          <w:tcPr>
            <w:tcW w:w="746" w:type="dxa"/>
            <w:noWrap w:val="0"/>
            <w:vAlign w:val="center"/>
          </w:tcPr>
          <w:p w14:paraId="29B5B30C">
            <w:pPr>
              <w:widowControl/>
              <w:adjustRightInd w:val="0"/>
              <w:snapToGrid w:val="0"/>
              <w:spacing w:line="300" w:lineRule="auto"/>
              <w:jc w:val="center"/>
              <w:rPr>
                <w:rFonts w:ascii="宋体" w:hAnsi="宋体"/>
                <w:color w:val="auto"/>
                <w:sz w:val="24"/>
                <w:highlight w:val="none"/>
              </w:rPr>
            </w:pPr>
            <w:r>
              <w:rPr>
                <w:rFonts w:hint="eastAsia" w:ascii="宋体" w:hAnsi="宋体"/>
                <w:color w:val="auto"/>
                <w:sz w:val="24"/>
                <w:highlight w:val="none"/>
              </w:rPr>
              <w:t>2</w:t>
            </w:r>
          </w:p>
        </w:tc>
        <w:tc>
          <w:tcPr>
            <w:tcW w:w="1843" w:type="dxa"/>
            <w:noWrap w:val="0"/>
            <w:vAlign w:val="center"/>
          </w:tcPr>
          <w:p w14:paraId="3A0F944D">
            <w:pPr>
              <w:widowControl/>
              <w:adjustRightInd w:val="0"/>
              <w:snapToGrid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响应文件的提交截止时间和地点</w:t>
            </w:r>
          </w:p>
        </w:tc>
        <w:tc>
          <w:tcPr>
            <w:tcW w:w="7087" w:type="dxa"/>
            <w:noWrap w:val="0"/>
            <w:vAlign w:val="center"/>
          </w:tcPr>
          <w:p w14:paraId="134DCB95">
            <w:pPr>
              <w:snapToGrid w:val="0"/>
              <w:spacing w:line="400" w:lineRule="exact"/>
              <w:rPr>
                <w:rFonts w:hint="eastAsia" w:ascii="宋体" w:hAnsi="宋体" w:cs="宋体"/>
                <w:color w:val="auto"/>
                <w:sz w:val="24"/>
                <w:highlight w:val="none"/>
                <w:u w:val="single"/>
              </w:rPr>
            </w:pPr>
            <w:r>
              <w:rPr>
                <w:rFonts w:hint="eastAsia" w:ascii="Times New Roman" w:hAnsi="Times New Roman" w:cs="宋体"/>
                <w:color w:val="auto"/>
                <w:sz w:val="24"/>
                <w:highlight w:val="none"/>
                <w:lang w:eastAsia="zh-CN"/>
              </w:rPr>
              <w:t>截止</w:t>
            </w:r>
            <w:r>
              <w:rPr>
                <w:rFonts w:hint="eastAsia" w:ascii="Times New Roman" w:hAnsi="Times New Roman" w:cs="宋体"/>
                <w:color w:val="auto"/>
                <w:sz w:val="24"/>
                <w:highlight w:val="none"/>
                <w:lang w:val="en-US" w:eastAsia="zh-CN"/>
              </w:rPr>
              <w:t>2026年8月12日18：00，邮件提交至</w:t>
            </w:r>
            <w:r>
              <w:rPr>
                <w:rFonts w:hint="eastAsia"/>
                <w:sz w:val="24"/>
                <w:szCs w:val="32"/>
                <w:highlight w:val="none"/>
              </w:rPr>
              <w:t>zhengqiang1226@foxmail.com</w:t>
            </w:r>
            <w:r>
              <w:rPr>
                <w:rFonts w:hint="eastAsia"/>
                <w:sz w:val="24"/>
                <w:szCs w:val="32"/>
                <w:highlight w:val="none"/>
                <w:lang w:eastAsia="zh-CN"/>
              </w:rPr>
              <w:t>，</w:t>
            </w:r>
            <w:r>
              <w:rPr>
                <w:rFonts w:hint="eastAsia" w:ascii="Times New Roman" w:hAnsi="Times New Roman" w:cs="宋体"/>
                <w:color w:val="auto"/>
                <w:sz w:val="24"/>
                <w:highlight w:val="none"/>
              </w:rPr>
              <w:t>供应商无需至开标现场。</w:t>
            </w:r>
          </w:p>
        </w:tc>
      </w:tr>
      <w:tr w14:paraId="25013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30" w:hRule="atLeast"/>
          <w:jc w:val="center"/>
        </w:trPr>
        <w:tc>
          <w:tcPr>
            <w:tcW w:w="746" w:type="dxa"/>
            <w:noWrap w:val="0"/>
            <w:vAlign w:val="center"/>
          </w:tcPr>
          <w:p w14:paraId="283E912E">
            <w:pPr>
              <w:widowControl/>
              <w:adjustRightInd w:val="0"/>
              <w:snapToGrid w:val="0"/>
              <w:spacing w:line="300" w:lineRule="auto"/>
              <w:jc w:val="center"/>
              <w:rPr>
                <w:rFonts w:ascii="宋体" w:hAnsi="宋体"/>
                <w:color w:val="auto"/>
                <w:sz w:val="24"/>
                <w:highlight w:val="none"/>
              </w:rPr>
            </w:pPr>
            <w:r>
              <w:rPr>
                <w:rFonts w:hint="eastAsia" w:ascii="宋体" w:hAnsi="宋体"/>
                <w:color w:val="auto"/>
                <w:sz w:val="24"/>
                <w:highlight w:val="none"/>
              </w:rPr>
              <w:t>3</w:t>
            </w:r>
          </w:p>
        </w:tc>
        <w:tc>
          <w:tcPr>
            <w:tcW w:w="1843" w:type="dxa"/>
            <w:noWrap w:val="0"/>
            <w:vAlign w:val="center"/>
          </w:tcPr>
          <w:p w14:paraId="4765D1F0">
            <w:pPr>
              <w:widowControl/>
              <w:adjustRightInd w:val="0"/>
              <w:snapToGrid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响应文件启封</w:t>
            </w:r>
          </w:p>
        </w:tc>
        <w:tc>
          <w:tcPr>
            <w:tcW w:w="7087" w:type="dxa"/>
            <w:noWrap w:val="0"/>
            <w:vAlign w:val="center"/>
          </w:tcPr>
          <w:p w14:paraId="4D4CC162">
            <w:pPr>
              <w:widowControl/>
              <w:adjustRightInd w:val="0"/>
              <w:snapToGrid w:val="0"/>
              <w:spacing w:line="300" w:lineRule="auto"/>
              <w:jc w:val="left"/>
              <w:rPr>
                <w:rFonts w:hint="eastAsia" w:ascii="宋体" w:hAnsi="宋体" w:cs="宋体"/>
                <w:color w:val="auto"/>
                <w:sz w:val="24"/>
                <w:highlight w:val="none"/>
              </w:rPr>
            </w:pPr>
            <w:r>
              <w:rPr>
                <w:rFonts w:hint="eastAsia" w:ascii="Times New Roman" w:hAnsi="Times New Roman" w:cs="宋体"/>
                <w:color w:val="auto"/>
                <w:sz w:val="24"/>
                <w:highlight w:val="none"/>
              </w:rPr>
              <w:t>响应文件的递交截止时间后，采购人</w:t>
            </w:r>
            <w:r>
              <w:rPr>
                <w:rFonts w:hint="eastAsia" w:ascii="Times New Roman" w:hAnsi="Times New Roman" w:cs="宋体"/>
                <w:color w:val="auto"/>
                <w:sz w:val="24"/>
                <w:highlight w:val="none"/>
                <w:lang w:eastAsia="zh-CN"/>
              </w:rPr>
              <w:t>自行</w:t>
            </w:r>
            <w:r>
              <w:rPr>
                <w:rFonts w:hint="eastAsia" w:ascii="Times New Roman" w:hAnsi="Times New Roman" w:cs="宋体"/>
                <w:color w:val="auto"/>
                <w:sz w:val="24"/>
                <w:highlight w:val="none"/>
              </w:rPr>
              <w:t>组织响应文件的启封。</w:t>
            </w:r>
          </w:p>
        </w:tc>
      </w:tr>
      <w:tr w14:paraId="43176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61" w:hRule="atLeast"/>
          <w:jc w:val="center"/>
        </w:trPr>
        <w:tc>
          <w:tcPr>
            <w:tcW w:w="746" w:type="dxa"/>
            <w:noWrap w:val="0"/>
            <w:vAlign w:val="center"/>
          </w:tcPr>
          <w:p w14:paraId="083C1AD0">
            <w:pPr>
              <w:widowControl/>
              <w:adjustRightInd w:val="0"/>
              <w:snapToGrid w:val="0"/>
              <w:spacing w:line="300" w:lineRule="auto"/>
              <w:jc w:val="center"/>
              <w:rPr>
                <w:rFonts w:ascii="宋体" w:hAnsi="宋体"/>
                <w:color w:val="auto"/>
                <w:sz w:val="24"/>
                <w:highlight w:val="none"/>
              </w:rPr>
            </w:pPr>
            <w:r>
              <w:rPr>
                <w:rFonts w:hint="eastAsia" w:ascii="宋体" w:hAnsi="宋体"/>
                <w:color w:val="auto"/>
                <w:sz w:val="24"/>
                <w:highlight w:val="none"/>
              </w:rPr>
              <w:t>4</w:t>
            </w:r>
          </w:p>
        </w:tc>
        <w:tc>
          <w:tcPr>
            <w:tcW w:w="1843" w:type="dxa"/>
            <w:noWrap w:val="0"/>
            <w:vAlign w:val="center"/>
          </w:tcPr>
          <w:p w14:paraId="171F5D6A">
            <w:pPr>
              <w:pStyle w:val="19"/>
              <w:widowControl w:val="0"/>
              <w:adjustRightInd w:val="0"/>
              <w:snapToGrid w:val="0"/>
              <w:spacing w:before="0" w:beforeAutospacing="0" w:after="0" w:afterAutospacing="0" w:line="360" w:lineRule="auto"/>
              <w:rPr>
                <w:rFonts w:hint="eastAsia" w:cs="宋体"/>
                <w:b w:val="0"/>
                <w:bCs w:val="0"/>
                <w:color w:val="auto"/>
                <w:kern w:val="2"/>
                <w:sz w:val="24"/>
                <w:szCs w:val="24"/>
                <w:highlight w:val="none"/>
              </w:rPr>
            </w:pPr>
            <w:r>
              <w:rPr>
                <w:rFonts w:hint="eastAsia" w:cs="宋体"/>
                <w:b w:val="0"/>
                <w:bCs w:val="0"/>
                <w:color w:val="auto"/>
                <w:kern w:val="2"/>
                <w:sz w:val="24"/>
                <w:szCs w:val="24"/>
                <w:highlight w:val="none"/>
              </w:rPr>
              <w:t>响应保证金</w:t>
            </w:r>
          </w:p>
        </w:tc>
        <w:tc>
          <w:tcPr>
            <w:tcW w:w="7087" w:type="dxa"/>
            <w:noWrap w:val="0"/>
            <w:vAlign w:val="center"/>
          </w:tcPr>
          <w:p w14:paraId="2B7F874B">
            <w:pPr>
              <w:pStyle w:val="19"/>
              <w:widowControl w:val="0"/>
              <w:adjustRightInd w:val="0"/>
              <w:snapToGrid w:val="0"/>
              <w:spacing w:before="0" w:beforeAutospacing="0" w:after="0" w:afterAutospacing="0" w:line="300" w:lineRule="auto"/>
              <w:jc w:val="both"/>
              <w:rPr>
                <w:rFonts w:hint="eastAsia" w:cs="宋体"/>
                <w:b w:val="0"/>
                <w:color w:val="auto"/>
                <w:sz w:val="24"/>
                <w:szCs w:val="24"/>
                <w:highlight w:val="none"/>
              </w:rPr>
            </w:pPr>
            <w:r>
              <w:rPr>
                <w:rFonts w:hint="eastAsia" w:cs="宋体"/>
                <w:b w:val="0"/>
                <w:color w:val="auto"/>
                <w:sz w:val="24"/>
                <w:szCs w:val="24"/>
                <w:highlight w:val="none"/>
              </w:rPr>
              <w:t>无</w:t>
            </w:r>
          </w:p>
        </w:tc>
      </w:tr>
      <w:tr w14:paraId="7B195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30" w:hRule="atLeast"/>
          <w:jc w:val="center"/>
        </w:trPr>
        <w:tc>
          <w:tcPr>
            <w:tcW w:w="746" w:type="dxa"/>
            <w:noWrap w:val="0"/>
            <w:vAlign w:val="center"/>
          </w:tcPr>
          <w:p w14:paraId="1C82F17C">
            <w:pPr>
              <w:widowControl/>
              <w:adjustRightInd w:val="0"/>
              <w:snapToGrid w:val="0"/>
              <w:spacing w:line="300" w:lineRule="auto"/>
              <w:jc w:val="center"/>
              <w:rPr>
                <w:rFonts w:ascii="宋体" w:hAnsi="宋体"/>
                <w:color w:val="auto"/>
                <w:sz w:val="24"/>
                <w:highlight w:val="none"/>
              </w:rPr>
            </w:pPr>
            <w:r>
              <w:rPr>
                <w:rFonts w:hint="eastAsia" w:ascii="宋体" w:hAnsi="宋体"/>
                <w:color w:val="auto"/>
                <w:sz w:val="24"/>
                <w:highlight w:val="none"/>
              </w:rPr>
              <w:t>5</w:t>
            </w:r>
          </w:p>
        </w:tc>
        <w:tc>
          <w:tcPr>
            <w:tcW w:w="1843" w:type="dxa"/>
            <w:noWrap w:val="0"/>
            <w:vAlign w:val="center"/>
          </w:tcPr>
          <w:p w14:paraId="05129A72">
            <w:pPr>
              <w:pStyle w:val="19"/>
              <w:widowControl w:val="0"/>
              <w:adjustRightInd w:val="0"/>
              <w:snapToGrid w:val="0"/>
              <w:spacing w:before="0" w:beforeAutospacing="0" w:after="0" w:afterAutospacing="0" w:line="360" w:lineRule="auto"/>
              <w:rPr>
                <w:rFonts w:hint="eastAsia" w:cs="宋体"/>
                <w:b w:val="0"/>
                <w:bCs w:val="0"/>
                <w:color w:val="auto"/>
                <w:kern w:val="2"/>
                <w:sz w:val="24"/>
                <w:szCs w:val="24"/>
                <w:highlight w:val="none"/>
              </w:rPr>
            </w:pPr>
            <w:r>
              <w:rPr>
                <w:rFonts w:hint="eastAsia" w:cs="宋体"/>
                <w:b w:val="0"/>
                <w:bCs w:val="0"/>
                <w:color w:val="auto"/>
                <w:kern w:val="2"/>
                <w:sz w:val="24"/>
                <w:szCs w:val="24"/>
                <w:highlight w:val="none"/>
              </w:rPr>
              <w:t>响应有效期</w:t>
            </w:r>
          </w:p>
        </w:tc>
        <w:tc>
          <w:tcPr>
            <w:tcW w:w="7087" w:type="dxa"/>
            <w:noWrap w:val="0"/>
            <w:vAlign w:val="center"/>
          </w:tcPr>
          <w:p w14:paraId="3E8F6484">
            <w:pPr>
              <w:pStyle w:val="19"/>
              <w:widowControl w:val="0"/>
              <w:adjustRightInd w:val="0"/>
              <w:snapToGrid w:val="0"/>
              <w:spacing w:before="0" w:beforeAutospacing="0" w:after="0" w:afterAutospacing="0" w:line="360" w:lineRule="auto"/>
              <w:jc w:val="both"/>
              <w:rPr>
                <w:rFonts w:hint="eastAsia" w:cs="宋体"/>
                <w:b w:val="0"/>
                <w:bCs w:val="0"/>
                <w:color w:val="auto"/>
                <w:kern w:val="2"/>
                <w:sz w:val="24"/>
                <w:szCs w:val="24"/>
                <w:highlight w:val="none"/>
              </w:rPr>
            </w:pPr>
            <w:r>
              <w:rPr>
                <w:rFonts w:hint="eastAsia" w:cs="宋体"/>
                <w:b w:val="0"/>
                <w:bCs w:val="0"/>
                <w:color w:val="auto"/>
                <w:kern w:val="2"/>
                <w:sz w:val="24"/>
                <w:szCs w:val="24"/>
                <w:highlight w:val="none"/>
              </w:rPr>
              <w:t>自供应商递交响应文件截止之日起计算 90 日</w:t>
            </w:r>
          </w:p>
        </w:tc>
      </w:tr>
      <w:tr w14:paraId="2C831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30" w:hRule="atLeast"/>
          <w:jc w:val="center"/>
        </w:trPr>
        <w:tc>
          <w:tcPr>
            <w:tcW w:w="746" w:type="dxa"/>
            <w:noWrap w:val="0"/>
            <w:vAlign w:val="center"/>
          </w:tcPr>
          <w:p w14:paraId="2A2D053C">
            <w:pPr>
              <w:widowControl/>
              <w:adjustRightInd w:val="0"/>
              <w:snapToGrid w:val="0"/>
              <w:spacing w:line="300" w:lineRule="auto"/>
              <w:jc w:val="center"/>
              <w:rPr>
                <w:rFonts w:ascii="宋体" w:hAnsi="宋体"/>
                <w:bCs/>
                <w:color w:val="auto"/>
                <w:sz w:val="24"/>
                <w:highlight w:val="none"/>
              </w:rPr>
            </w:pPr>
            <w:r>
              <w:rPr>
                <w:rFonts w:hint="eastAsia" w:ascii="宋体" w:hAnsi="宋体"/>
                <w:bCs/>
                <w:color w:val="auto"/>
                <w:sz w:val="24"/>
                <w:highlight w:val="none"/>
              </w:rPr>
              <w:t>6</w:t>
            </w:r>
          </w:p>
        </w:tc>
        <w:tc>
          <w:tcPr>
            <w:tcW w:w="1843" w:type="dxa"/>
            <w:noWrap w:val="0"/>
            <w:vAlign w:val="center"/>
          </w:tcPr>
          <w:p w14:paraId="14D45FDD">
            <w:pPr>
              <w:widowControl/>
              <w:adjustRightInd w:val="0"/>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分包</w:t>
            </w:r>
          </w:p>
        </w:tc>
        <w:tc>
          <w:tcPr>
            <w:tcW w:w="7087" w:type="dxa"/>
            <w:noWrap w:val="0"/>
            <w:vAlign w:val="center"/>
          </w:tcPr>
          <w:p w14:paraId="490BD840">
            <w:pPr>
              <w:pStyle w:val="5"/>
              <w:topLinePunct/>
              <w:snapToGrid w:val="0"/>
              <w:spacing w:before="156"/>
              <w:rPr>
                <w:rFonts w:hint="eastAsia" w:cs="宋体"/>
                <w:bCs/>
                <w:color w:val="auto"/>
                <w:kern w:val="0"/>
                <w:sz w:val="24"/>
                <w:szCs w:val="24"/>
                <w:highlight w:val="none"/>
              </w:rPr>
            </w:pPr>
            <w:r>
              <w:rPr>
                <w:rFonts w:hint="eastAsia" w:cs="宋体"/>
                <w:bCs/>
                <w:color w:val="auto"/>
                <w:kern w:val="0"/>
                <w:sz w:val="24"/>
                <w:szCs w:val="24"/>
                <w:highlight w:val="none"/>
              </w:rPr>
              <w:t>不得分包的内容：本项目不允许分包。</w:t>
            </w:r>
          </w:p>
          <w:p w14:paraId="7241FC15">
            <w:pPr>
              <w:pStyle w:val="5"/>
              <w:topLinePunct/>
              <w:snapToGrid w:val="0"/>
              <w:spacing w:before="156"/>
              <w:rPr>
                <w:rFonts w:hint="eastAsia" w:cs="宋体"/>
                <w:bCs/>
                <w:color w:val="auto"/>
                <w:kern w:val="0"/>
                <w:sz w:val="24"/>
                <w:szCs w:val="24"/>
                <w:highlight w:val="none"/>
              </w:rPr>
            </w:pPr>
            <w:r>
              <w:rPr>
                <w:rFonts w:hint="eastAsia" w:cs="宋体"/>
                <w:bCs/>
                <w:color w:val="auto"/>
                <w:kern w:val="0"/>
                <w:sz w:val="24"/>
                <w:szCs w:val="24"/>
                <w:highlight w:val="none"/>
              </w:rPr>
              <w:t>对分包供应商的要求：/</w:t>
            </w:r>
          </w:p>
        </w:tc>
      </w:tr>
      <w:tr w14:paraId="0D6D2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30" w:hRule="atLeast"/>
          <w:jc w:val="center"/>
        </w:trPr>
        <w:tc>
          <w:tcPr>
            <w:tcW w:w="746" w:type="dxa"/>
            <w:noWrap w:val="0"/>
            <w:vAlign w:val="center"/>
          </w:tcPr>
          <w:p w14:paraId="378BA9B1">
            <w:pPr>
              <w:widowControl/>
              <w:adjustRightInd w:val="0"/>
              <w:snapToGrid w:val="0"/>
              <w:spacing w:line="300" w:lineRule="auto"/>
              <w:jc w:val="center"/>
              <w:rPr>
                <w:rFonts w:hint="eastAsia" w:ascii="宋体" w:hAnsi="宋体"/>
                <w:color w:val="auto"/>
                <w:sz w:val="24"/>
                <w:highlight w:val="none"/>
              </w:rPr>
            </w:pPr>
            <w:r>
              <w:rPr>
                <w:rFonts w:hint="eastAsia" w:ascii="宋体" w:hAnsi="宋体"/>
                <w:color w:val="auto"/>
                <w:sz w:val="24"/>
                <w:highlight w:val="none"/>
              </w:rPr>
              <w:t>7</w:t>
            </w:r>
          </w:p>
        </w:tc>
        <w:tc>
          <w:tcPr>
            <w:tcW w:w="1843" w:type="dxa"/>
            <w:noWrap w:val="0"/>
            <w:vAlign w:val="center"/>
          </w:tcPr>
          <w:p w14:paraId="15A6F74C">
            <w:pPr>
              <w:widowControl/>
              <w:adjustRightInd w:val="0"/>
              <w:snapToGrid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发布成交公告</w:t>
            </w:r>
          </w:p>
        </w:tc>
        <w:tc>
          <w:tcPr>
            <w:tcW w:w="7087" w:type="dxa"/>
            <w:noWrap w:val="0"/>
            <w:vAlign w:val="center"/>
          </w:tcPr>
          <w:p w14:paraId="3E0D5F0B">
            <w:pPr>
              <w:snapToGrid w:val="0"/>
              <w:spacing w:line="360" w:lineRule="auto"/>
              <w:rPr>
                <w:rFonts w:hint="eastAsia" w:ascii="宋体" w:hAnsi="宋体" w:cs="宋体"/>
                <w:color w:val="auto"/>
                <w:sz w:val="24"/>
                <w:highlight w:val="none"/>
              </w:rPr>
            </w:pPr>
            <w:r>
              <w:rPr>
                <w:rFonts w:hint="eastAsia" w:ascii="宋体" w:hAnsi="宋体" w:cs="宋体"/>
                <w:color w:val="auto"/>
                <w:sz w:val="24"/>
                <w:highlight w:val="none"/>
              </w:rPr>
              <w:t>公告媒介：同询比采购公告。</w:t>
            </w:r>
          </w:p>
          <w:p w14:paraId="119F859F">
            <w:pPr>
              <w:snapToGrid w:val="0"/>
              <w:spacing w:line="360" w:lineRule="auto"/>
              <w:rPr>
                <w:rFonts w:hint="eastAsia" w:ascii="宋体" w:hAnsi="宋体" w:cs="宋体"/>
                <w:color w:val="auto"/>
                <w:sz w:val="24"/>
                <w:highlight w:val="none"/>
              </w:rPr>
            </w:pPr>
            <w:r>
              <w:rPr>
                <w:rFonts w:hint="eastAsia" w:ascii="宋体" w:hAnsi="宋体" w:cs="宋体"/>
                <w:color w:val="auto"/>
                <w:sz w:val="24"/>
                <w:highlight w:val="none"/>
              </w:rPr>
              <w:t>其他应公告的内容：</w:t>
            </w:r>
            <w:r>
              <w:rPr>
                <w:rFonts w:hint="eastAsia" w:ascii="宋体" w:hAnsi="宋体" w:cs="宋体"/>
                <w:color w:val="auto"/>
                <w:sz w:val="24"/>
                <w:highlight w:val="none"/>
                <w:u w:val="single"/>
              </w:rPr>
              <w:t xml:space="preserve">      /      </w:t>
            </w:r>
          </w:p>
        </w:tc>
      </w:tr>
      <w:tr w14:paraId="62B9E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81" w:hRule="atLeast"/>
          <w:jc w:val="center"/>
        </w:trPr>
        <w:tc>
          <w:tcPr>
            <w:tcW w:w="746" w:type="dxa"/>
            <w:noWrap w:val="0"/>
            <w:vAlign w:val="center"/>
          </w:tcPr>
          <w:p w14:paraId="424D4393">
            <w:pPr>
              <w:widowControl/>
              <w:adjustRightInd w:val="0"/>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8</w:t>
            </w:r>
          </w:p>
        </w:tc>
        <w:tc>
          <w:tcPr>
            <w:tcW w:w="1843" w:type="dxa"/>
            <w:noWrap w:val="0"/>
            <w:vAlign w:val="center"/>
          </w:tcPr>
          <w:p w14:paraId="62DAB7AA">
            <w:pPr>
              <w:widowControl/>
              <w:adjustRightInd w:val="0"/>
              <w:snapToGrid w:val="0"/>
              <w:spacing w:line="360" w:lineRule="auto"/>
              <w:jc w:val="center"/>
              <w:rPr>
                <w:rFonts w:hint="eastAsia" w:ascii="宋体" w:hAnsi="宋体"/>
                <w:bCs/>
                <w:color w:val="auto"/>
                <w:szCs w:val="21"/>
                <w:highlight w:val="none"/>
              </w:rPr>
            </w:pPr>
            <w:r>
              <w:rPr>
                <w:rFonts w:hint="eastAsia" w:ascii="宋体" w:hAnsi="宋体" w:cs="宋体"/>
                <w:color w:val="auto"/>
                <w:sz w:val="24"/>
                <w:highlight w:val="none"/>
              </w:rPr>
              <w:t>付款方式</w:t>
            </w:r>
          </w:p>
        </w:tc>
        <w:tc>
          <w:tcPr>
            <w:tcW w:w="7087" w:type="dxa"/>
            <w:noWrap w:val="0"/>
            <w:vAlign w:val="center"/>
          </w:tcPr>
          <w:p w14:paraId="6CD762D3">
            <w:pPr>
              <w:spacing w:line="300" w:lineRule="auto"/>
              <w:rPr>
                <w:rFonts w:hint="eastAsia" w:ascii="宋体" w:hAnsi="宋体" w:cs="宋体"/>
                <w:color w:val="auto"/>
                <w:sz w:val="24"/>
                <w:highlight w:val="none"/>
              </w:rPr>
            </w:pPr>
            <w:r>
              <w:rPr>
                <w:rFonts w:hint="eastAsia" w:ascii="宋体" w:hAnsi="宋体" w:cs="宋体"/>
                <w:color w:val="auto"/>
                <w:sz w:val="24"/>
                <w:highlight w:val="none"/>
              </w:rPr>
              <w:t>合同签订且采购人收到最终用户款项后，</w:t>
            </w:r>
            <w:r>
              <w:rPr>
                <w:rFonts w:hint="eastAsia" w:ascii="宋体" w:hAnsi="宋体" w:cs="宋体"/>
                <w:color w:val="auto"/>
                <w:sz w:val="24"/>
                <w:highlight w:val="none"/>
                <w:lang w:eastAsia="zh-CN"/>
              </w:rPr>
              <w:t>项目进度达到</w:t>
            </w:r>
            <w:r>
              <w:rPr>
                <w:rFonts w:hint="eastAsia" w:ascii="宋体" w:hAnsi="宋体" w:cs="宋体"/>
                <w:color w:val="auto"/>
                <w:sz w:val="24"/>
                <w:highlight w:val="none"/>
                <w:lang w:val="en-US" w:eastAsia="zh-CN"/>
              </w:rPr>
              <w:t>40%，</w:t>
            </w:r>
            <w:r>
              <w:rPr>
                <w:rFonts w:hint="eastAsia" w:ascii="宋体" w:hAnsi="宋体" w:cs="宋体"/>
                <w:color w:val="auto"/>
                <w:sz w:val="24"/>
                <w:highlight w:val="none"/>
              </w:rPr>
              <w:t>支付合同金额的40%；项目完成竣工验收，支付合同金额的</w:t>
            </w:r>
            <w:r>
              <w:rPr>
                <w:rFonts w:hint="eastAsia" w:ascii="宋体" w:hAnsi="宋体" w:cs="宋体"/>
                <w:color w:val="auto"/>
                <w:sz w:val="24"/>
                <w:highlight w:val="none"/>
                <w:lang w:val="en-US" w:eastAsia="zh-CN"/>
              </w:rPr>
              <w:t>40</w:t>
            </w:r>
            <w:r>
              <w:rPr>
                <w:rFonts w:hint="eastAsia" w:ascii="宋体" w:hAnsi="宋体" w:cs="宋体"/>
                <w:color w:val="auto"/>
                <w:sz w:val="24"/>
                <w:highlight w:val="none"/>
              </w:rPr>
              <w:t>%</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项目验收合格且试运行满30天后，</w:t>
            </w:r>
            <w:r>
              <w:rPr>
                <w:rFonts w:hint="eastAsia" w:ascii="宋体" w:hAnsi="宋体" w:cs="宋体"/>
                <w:color w:val="auto"/>
                <w:sz w:val="24"/>
                <w:highlight w:val="none"/>
              </w:rPr>
              <w:t>支付合同金额的</w:t>
            </w:r>
            <w:r>
              <w:rPr>
                <w:rFonts w:hint="eastAsia" w:ascii="宋体" w:hAnsi="宋体" w:cs="宋体"/>
                <w:color w:val="auto"/>
                <w:sz w:val="24"/>
                <w:highlight w:val="none"/>
                <w:lang w:val="en-US" w:eastAsia="zh-CN"/>
              </w:rPr>
              <w:t>20</w:t>
            </w:r>
            <w:r>
              <w:rPr>
                <w:rFonts w:hint="eastAsia" w:ascii="宋体" w:hAnsi="宋体" w:cs="宋体"/>
                <w:color w:val="auto"/>
                <w:sz w:val="24"/>
                <w:highlight w:val="none"/>
              </w:rPr>
              <w:t>%。每笔付款前供应商须提供相应金额等额合法的增值税专用发票。</w:t>
            </w:r>
          </w:p>
        </w:tc>
      </w:tr>
    </w:tbl>
    <w:p w14:paraId="0D718449">
      <w:pPr>
        <w:rPr>
          <w:rFonts w:hint="eastAsia"/>
        </w:rPr>
      </w:pPr>
    </w:p>
    <w:p w14:paraId="760BF108">
      <w:pPr>
        <w:widowControl/>
        <w:spacing w:line="360" w:lineRule="auto"/>
        <w:jc w:val="center"/>
        <w:outlineLvl w:val="9"/>
        <w:rPr>
          <w:rStyle w:val="20"/>
          <w:rFonts w:hint="eastAsia" w:ascii="宋体" w:hAnsi="宋体" w:eastAsia="宋体" w:cs="Times New Roman"/>
          <w:b/>
          <w:bCs/>
          <w:color w:val="auto"/>
          <w:szCs w:val="20"/>
          <w:highlight w:val="none"/>
        </w:rPr>
      </w:pPr>
    </w:p>
    <w:p w14:paraId="342A0DC8">
      <w:pPr>
        <w:widowControl/>
        <w:spacing w:line="360" w:lineRule="auto"/>
        <w:jc w:val="center"/>
        <w:outlineLvl w:val="1"/>
        <w:rPr>
          <w:rStyle w:val="20"/>
          <w:rFonts w:hint="eastAsia" w:ascii="宋体" w:hAnsi="宋体" w:eastAsia="宋体" w:cs="Times New Roman"/>
          <w:b/>
          <w:bCs/>
          <w:color w:val="auto"/>
          <w:szCs w:val="20"/>
          <w:highlight w:val="none"/>
        </w:rPr>
      </w:pPr>
      <w:r>
        <w:rPr>
          <w:rStyle w:val="20"/>
          <w:rFonts w:hint="eastAsia" w:ascii="宋体" w:hAnsi="宋体" w:eastAsia="宋体" w:cs="Times New Roman"/>
          <w:b/>
          <w:bCs/>
          <w:color w:val="auto"/>
          <w:szCs w:val="20"/>
          <w:highlight w:val="none"/>
        </w:rPr>
        <w:t>供应商须知正文</w:t>
      </w:r>
    </w:p>
    <w:p w14:paraId="56CEA9B4">
      <w:pPr>
        <w:rPr>
          <w:rFonts w:hint="eastAsia"/>
          <w:b/>
          <w:bCs/>
          <w:sz w:val="24"/>
          <w:szCs w:val="32"/>
        </w:rPr>
      </w:pPr>
      <w:r>
        <w:rPr>
          <w:rFonts w:hint="eastAsia"/>
          <w:b/>
          <w:bCs/>
          <w:sz w:val="24"/>
          <w:szCs w:val="32"/>
          <w:lang w:val="en-US" w:eastAsia="zh-CN"/>
        </w:rPr>
        <w:t>1、</w:t>
      </w:r>
      <w:r>
        <w:rPr>
          <w:rFonts w:hint="eastAsia"/>
          <w:b/>
          <w:bCs/>
          <w:sz w:val="24"/>
          <w:szCs w:val="32"/>
        </w:rPr>
        <w:t>总则</w:t>
      </w:r>
    </w:p>
    <w:p w14:paraId="2D95510B">
      <w:pPr>
        <w:rPr>
          <w:rFonts w:hint="eastAsia"/>
          <w:sz w:val="24"/>
          <w:szCs w:val="32"/>
        </w:rPr>
      </w:pPr>
      <w:r>
        <w:rPr>
          <w:rFonts w:hint="eastAsia"/>
          <w:sz w:val="24"/>
          <w:szCs w:val="32"/>
        </w:rPr>
        <w:t>1.1 质量安全：项目整体验收合格，全程无涉密、网络、数据安全事故，所有内网敏感数据不出本地。</w:t>
      </w:r>
    </w:p>
    <w:p w14:paraId="79F28DF9">
      <w:pPr>
        <w:rPr>
          <w:rFonts w:hint="eastAsia"/>
          <w:sz w:val="24"/>
          <w:szCs w:val="32"/>
        </w:rPr>
      </w:pPr>
      <w:r>
        <w:rPr>
          <w:rFonts w:hint="eastAsia"/>
          <w:sz w:val="24"/>
          <w:szCs w:val="32"/>
        </w:rPr>
        <w:t>1.2 资格要求：详见采购公告3.1条款，采购人有权核验所有资质、业绩原件，材料造假直接否决报价。</w:t>
      </w:r>
    </w:p>
    <w:p w14:paraId="30918BE6">
      <w:pPr>
        <w:rPr>
          <w:rFonts w:hint="eastAsia"/>
          <w:sz w:val="24"/>
          <w:szCs w:val="32"/>
        </w:rPr>
      </w:pPr>
      <w:r>
        <w:rPr>
          <w:rFonts w:hint="eastAsia"/>
          <w:sz w:val="24"/>
          <w:szCs w:val="32"/>
        </w:rPr>
        <w:t>1.3 费用：供应商参与询比全部成本自行承担。</w:t>
      </w:r>
    </w:p>
    <w:p w14:paraId="5835EC4D">
      <w:pPr>
        <w:rPr>
          <w:rFonts w:hint="eastAsia"/>
          <w:sz w:val="24"/>
          <w:szCs w:val="32"/>
        </w:rPr>
      </w:pPr>
      <w:r>
        <w:rPr>
          <w:rFonts w:hint="eastAsia"/>
          <w:sz w:val="24"/>
          <w:szCs w:val="32"/>
        </w:rPr>
        <w:t>1.4 保密：询比文件、响应文件、甲方业务涉密信息全程保密，合同终止后永久保密。</w:t>
      </w:r>
    </w:p>
    <w:p w14:paraId="445F0AB1">
      <w:pPr>
        <w:rPr>
          <w:rFonts w:hint="eastAsia"/>
          <w:sz w:val="24"/>
          <w:szCs w:val="32"/>
        </w:rPr>
      </w:pPr>
      <w:r>
        <w:rPr>
          <w:rFonts w:hint="eastAsia"/>
          <w:sz w:val="24"/>
          <w:szCs w:val="32"/>
        </w:rPr>
        <w:t>1.5 计量单位：采用国家法定计量单位。</w:t>
      </w:r>
    </w:p>
    <w:p w14:paraId="1CE8030A">
      <w:pPr>
        <w:rPr>
          <w:rFonts w:hint="eastAsia"/>
          <w:sz w:val="24"/>
          <w:szCs w:val="32"/>
        </w:rPr>
      </w:pPr>
      <w:r>
        <w:rPr>
          <w:rFonts w:hint="eastAsia"/>
          <w:sz w:val="24"/>
          <w:szCs w:val="32"/>
        </w:rPr>
        <w:t>1.6 现场踏勘：供应商可自行踏勘甲方内网机房、业务现场，费用自理。</w:t>
      </w:r>
    </w:p>
    <w:p w14:paraId="7324528E">
      <w:pPr>
        <w:rPr>
          <w:rFonts w:hint="eastAsia"/>
          <w:sz w:val="24"/>
          <w:szCs w:val="32"/>
        </w:rPr>
      </w:pPr>
      <w:r>
        <w:rPr>
          <w:rFonts w:hint="eastAsia"/>
          <w:sz w:val="24"/>
          <w:szCs w:val="32"/>
        </w:rPr>
        <w:t>1.7 偏差区分：重大偏差（否决项）、细微偏差；存在评审办法列明重大偏差直接否决响应文件。</w:t>
      </w:r>
    </w:p>
    <w:p w14:paraId="6B6DB2C6">
      <w:pPr>
        <w:rPr>
          <w:rFonts w:hint="eastAsia"/>
          <w:b/>
          <w:bCs/>
          <w:sz w:val="24"/>
          <w:szCs w:val="32"/>
        </w:rPr>
      </w:pPr>
      <w:r>
        <w:rPr>
          <w:rFonts w:hint="eastAsia"/>
          <w:b/>
          <w:bCs/>
          <w:sz w:val="24"/>
          <w:szCs w:val="32"/>
          <w:lang w:val="en-US" w:eastAsia="zh-CN"/>
        </w:rPr>
        <w:t>2、</w:t>
      </w:r>
      <w:r>
        <w:rPr>
          <w:rFonts w:hint="eastAsia"/>
          <w:b/>
          <w:bCs/>
          <w:sz w:val="24"/>
          <w:szCs w:val="32"/>
        </w:rPr>
        <w:t>询比文件</w:t>
      </w:r>
    </w:p>
    <w:p w14:paraId="3687A635">
      <w:pPr>
        <w:rPr>
          <w:rFonts w:hint="eastAsia"/>
          <w:sz w:val="24"/>
          <w:szCs w:val="32"/>
        </w:rPr>
      </w:pPr>
      <w:r>
        <w:rPr>
          <w:rFonts w:hint="eastAsia"/>
          <w:sz w:val="24"/>
          <w:szCs w:val="32"/>
        </w:rPr>
        <w:t>2.1 文件组成：采购公告、供应商须知、评审办法、合同条款、采购需求、响应文件格式；澄清、补充文件属于询比文件组成部分，内容冲突以最晚发布文件为准。</w:t>
      </w:r>
    </w:p>
    <w:p w14:paraId="0EA9C3B8">
      <w:pPr>
        <w:rPr>
          <w:rFonts w:hint="eastAsia"/>
          <w:sz w:val="24"/>
          <w:szCs w:val="32"/>
        </w:rPr>
      </w:pPr>
      <w:r>
        <w:rPr>
          <w:rFonts w:hint="eastAsia"/>
          <w:sz w:val="24"/>
          <w:szCs w:val="32"/>
        </w:rPr>
        <w:t>2.2 澄清修改：供应商需在递交截止前3个工作日通过指定邮箱提交书面澄清申请，逾期采购人可不予回复。</w:t>
      </w:r>
    </w:p>
    <w:p w14:paraId="768F9296">
      <w:pPr>
        <w:rPr>
          <w:rFonts w:hint="eastAsia"/>
          <w:b/>
          <w:bCs/>
          <w:sz w:val="24"/>
          <w:szCs w:val="32"/>
        </w:rPr>
      </w:pPr>
      <w:r>
        <w:rPr>
          <w:rFonts w:hint="eastAsia"/>
          <w:b/>
          <w:bCs/>
          <w:sz w:val="24"/>
          <w:szCs w:val="32"/>
          <w:lang w:val="en-US" w:eastAsia="zh-CN"/>
        </w:rPr>
        <w:t>3、</w:t>
      </w:r>
      <w:r>
        <w:rPr>
          <w:rFonts w:hint="eastAsia"/>
          <w:b/>
          <w:bCs/>
          <w:sz w:val="24"/>
          <w:szCs w:val="32"/>
        </w:rPr>
        <w:t>响应文件</w:t>
      </w:r>
    </w:p>
    <w:p w14:paraId="441140C5">
      <w:pPr>
        <w:rPr>
          <w:rFonts w:hint="eastAsia"/>
          <w:sz w:val="24"/>
          <w:szCs w:val="32"/>
        </w:rPr>
      </w:pPr>
      <w:r>
        <w:rPr>
          <w:rFonts w:hint="eastAsia"/>
          <w:sz w:val="24"/>
          <w:szCs w:val="32"/>
        </w:rPr>
        <w:t>3.1 文件组成：报价函、身份证明/授权委托书、报价表、商务技术偏差表、资格审查资料、技术实施方案、项目团队、业绩证明、售后质保方案、其他补充材料。</w:t>
      </w:r>
    </w:p>
    <w:p w14:paraId="59F1D72B">
      <w:pPr>
        <w:rPr>
          <w:rFonts w:hint="eastAsia"/>
          <w:sz w:val="24"/>
          <w:szCs w:val="32"/>
        </w:rPr>
      </w:pPr>
      <w:r>
        <w:rPr>
          <w:rFonts w:hint="eastAsia"/>
          <w:sz w:val="24"/>
          <w:szCs w:val="32"/>
        </w:rPr>
        <w:t>3.2 报价要求：总价包干，含软硬件实施、模型调优、培训、质保、接口开发、数据治理、文档编制、现场服务、税费等全部费用，采购人不再追加任何款项；税率6%，须开具增值税专用发票。</w:t>
      </w:r>
    </w:p>
    <w:p w14:paraId="4BBCC45A">
      <w:pPr>
        <w:rPr>
          <w:rFonts w:hint="eastAsia"/>
          <w:sz w:val="24"/>
          <w:szCs w:val="32"/>
        </w:rPr>
      </w:pPr>
      <w:r>
        <w:rPr>
          <w:rFonts w:hint="eastAsia"/>
          <w:sz w:val="24"/>
          <w:szCs w:val="32"/>
        </w:rPr>
        <w:t>3.3 有效期：90日历天，有效期内撤销报价承担相应违约责任。</w:t>
      </w:r>
    </w:p>
    <w:p w14:paraId="5793879D">
      <w:pPr>
        <w:rPr>
          <w:rFonts w:hint="eastAsia"/>
          <w:sz w:val="24"/>
          <w:szCs w:val="32"/>
        </w:rPr>
      </w:pPr>
      <w:r>
        <w:rPr>
          <w:rFonts w:hint="eastAsia"/>
          <w:sz w:val="24"/>
          <w:szCs w:val="32"/>
        </w:rPr>
        <w:t>3.4 资格资料：所有证件、业绩、合同复印件加盖公章，采购人可要求核验原件，虚假材料直接废标并纳入黑名单。</w:t>
      </w:r>
    </w:p>
    <w:p w14:paraId="1CA76614">
      <w:pPr>
        <w:rPr>
          <w:rFonts w:hint="eastAsia"/>
          <w:sz w:val="24"/>
          <w:szCs w:val="32"/>
        </w:rPr>
      </w:pPr>
      <w:r>
        <w:rPr>
          <w:rFonts w:hint="eastAsia"/>
          <w:sz w:val="24"/>
          <w:szCs w:val="32"/>
        </w:rPr>
        <w:t>3.5 文件编制：严格按照第六章格式编制，所有实质性条款必须逐条响应，签字盖章齐全；偏离项必须在偏差表列明，未列明视为无偏离。</w:t>
      </w:r>
    </w:p>
    <w:p w14:paraId="7220C9CF">
      <w:pPr>
        <w:rPr>
          <w:rFonts w:hint="eastAsia"/>
          <w:b/>
          <w:bCs/>
          <w:sz w:val="24"/>
          <w:szCs w:val="32"/>
        </w:rPr>
      </w:pPr>
      <w:r>
        <w:rPr>
          <w:rFonts w:hint="eastAsia"/>
          <w:b/>
          <w:bCs/>
          <w:sz w:val="24"/>
          <w:szCs w:val="32"/>
          <w:lang w:val="en-US" w:eastAsia="zh-CN"/>
        </w:rPr>
        <w:t>4、</w:t>
      </w:r>
      <w:r>
        <w:rPr>
          <w:rFonts w:hint="eastAsia"/>
          <w:b/>
          <w:bCs/>
          <w:sz w:val="24"/>
          <w:szCs w:val="32"/>
        </w:rPr>
        <w:t>响应文件递交</w:t>
      </w:r>
    </w:p>
    <w:p w14:paraId="677F0DAA">
      <w:pPr>
        <w:rPr>
          <w:rFonts w:hint="eastAsia"/>
          <w:sz w:val="24"/>
          <w:szCs w:val="32"/>
        </w:rPr>
      </w:pPr>
      <w:r>
        <w:rPr>
          <w:rFonts w:hint="eastAsia"/>
          <w:sz w:val="24"/>
          <w:szCs w:val="32"/>
        </w:rPr>
        <w:t>4.1 逾期文件不予受理；递交供应商不足3家采购失败；文件递交后不予退还。</w:t>
      </w:r>
    </w:p>
    <w:p w14:paraId="48AFC688">
      <w:pPr>
        <w:rPr>
          <w:rFonts w:hint="eastAsia"/>
          <w:sz w:val="24"/>
          <w:szCs w:val="32"/>
        </w:rPr>
      </w:pPr>
      <w:r>
        <w:rPr>
          <w:rFonts w:hint="eastAsia"/>
          <w:sz w:val="24"/>
          <w:szCs w:val="32"/>
        </w:rPr>
        <w:t>4.2 修改撤回：截止前可多次上传修改，以最后一次上传文件为准；截止后不得撤回。</w:t>
      </w:r>
    </w:p>
    <w:p w14:paraId="5E4AEA57">
      <w:pPr>
        <w:rPr>
          <w:rFonts w:hint="eastAsia"/>
          <w:b/>
          <w:bCs/>
          <w:sz w:val="24"/>
          <w:szCs w:val="32"/>
        </w:rPr>
      </w:pPr>
      <w:r>
        <w:rPr>
          <w:rFonts w:hint="eastAsia"/>
          <w:b/>
          <w:bCs/>
          <w:sz w:val="24"/>
          <w:szCs w:val="32"/>
          <w:lang w:val="en-US" w:eastAsia="zh-CN"/>
        </w:rPr>
        <w:t>5、</w:t>
      </w:r>
      <w:r>
        <w:rPr>
          <w:rFonts w:hint="eastAsia"/>
          <w:b/>
          <w:bCs/>
          <w:sz w:val="24"/>
          <w:szCs w:val="32"/>
        </w:rPr>
        <w:t>启封、评审</w:t>
      </w:r>
    </w:p>
    <w:p w14:paraId="02990920">
      <w:pPr>
        <w:rPr>
          <w:rFonts w:hint="eastAsia"/>
          <w:sz w:val="24"/>
          <w:szCs w:val="32"/>
        </w:rPr>
      </w:pPr>
      <w:r>
        <w:rPr>
          <w:rFonts w:hint="eastAsia"/>
          <w:sz w:val="24"/>
          <w:szCs w:val="32"/>
        </w:rPr>
        <w:t>5.1 评审小组：采购人组建3-7人单数评审小组，独立评审。</w:t>
      </w:r>
    </w:p>
    <w:p w14:paraId="16ED88AA">
      <w:pPr>
        <w:rPr>
          <w:rFonts w:hint="eastAsia"/>
          <w:sz w:val="24"/>
          <w:szCs w:val="32"/>
        </w:rPr>
      </w:pPr>
      <w:r>
        <w:rPr>
          <w:rFonts w:hint="eastAsia"/>
          <w:sz w:val="24"/>
          <w:szCs w:val="32"/>
        </w:rPr>
        <w:t>5.2 评审流程：形式审查→资格审查→响应性审查→详细综合打分，推荐1名成交候选人。</w:t>
      </w:r>
    </w:p>
    <w:p w14:paraId="12013D38">
      <w:pPr>
        <w:rPr>
          <w:rFonts w:hint="eastAsia"/>
          <w:b/>
          <w:bCs/>
          <w:sz w:val="24"/>
          <w:szCs w:val="32"/>
        </w:rPr>
      </w:pPr>
      <w:r>
        <w:rPr>
          <w:rFonts w:hint="eastAsia"/>
          <w:b/>
          <w:bCs/>
          <w:sz w:val="24"/>
          <w:szCs w:val="32"/>
          <w:lang w:val="en-US" w:eastAsia="zh-CN"/>
        </w:rPr>
        <w:t>6、</w:t>
      </w:r>
      <w:r>
        <w:rPr>
          <w:rFonts w:hint="eastAsia"/>
          <w:b/>
          <w:bCs/>
          <w:sz w:val="24"/>
          <w:szCs w:val="32"/>
        </w:rPr>
        <w:t>合同授予</w:t>
      </w:r>
    </w:p>
    <w:p w14:paraId="52CAF2AB">
      <w:pPr>
        <w:rPr>
          <w:rFonts w:hint="eastAsia"/>
          <w:sz w:val="24"/>
          <w:szCs w:val="32"/>
        </w:rPr>
      </w:pPr>
      <w:r>
        <w:rPr>
          <w:rFonts w:hint="eastAsia"/>
          <w:sz w:val="24"/>
          <w:szCs w:val="32"/>
        </w:rPr>
        <w:t>6.1 公示期不少于2日，公示期内可书面提出异议。</w:t>
      </w:r>
    </w:p>
    <w:p w14:paraId="69124011">
      <w:pPr>
        <w:rPr>
          <w:rFonts w:hint="eastAsia"/>
          <w:sz w:val="24"/>
          <w:szCs w:val="32"/>
        </w:rPr>
      </w:pPr>
      <w:r>
        <w:rPr>
          <w:rFonts w:hint="eastAsia"/>
          <w:sz w:val="24"/>
          <w:szCs w:val="32"/>
        </w:rPr>
        <w:t>6.2 成交候选人履约核查：若经营、财务、技术能力出现重大变化影响履约，采购人可取消成交资格。</w:t>
      </w:r>
    </w:p>
    <w:p w14:paraId="37D38F60">
      <w:pPr>
        <w:rPr>
          <w:rFonts w:hint="eastAsia"/>
          <w:sz w:val="24"/>
          <w:szCs w:val="32"/>
        </w:rPr>
      </w:pPr>
      <w:r>
        <w:rPr>
          <w:rFonts w:hint="eastAsia"/>
          <w:sz w:val="24"/>
          <w:szCs w:val="32"/>
        </w:rPr>
        <w:t>6.3 无履约保证金；公示期满无异议后15个工作日内签订合同，成交人无故拒签将追究违约责任。</w:t>
      </w:r>
    </w:p>
    <w:p w14:paraId="6F3AF097">
      <w:pPr>
        <w:rPr>
          <w:rFonts w:hint="eastAsia"/>
          <w:b/>
          <w:bCs/>
          <w:sz w:val="24"/>
          <w:szCs w:val="32"/>
        </w:rPr>
      </w:pPr>
      <w:r>
        <w:rPr>
          <w:rFonts w:hint="eastAsia"/>
          <w:b/>
          <w:bCs/>
          <w:sz w:val="24"/>
          <w:szCs w:val="32"/>
          <w:lang w:val="en-US" w:eastAsia="zh-CN"/>
        </w:rPr>
        <w:t>7、</w:t>
      </w:r>
      <w:r>
        <w:rPr>
          <w:rFonts w:hint="eastAsia"/>
          <w:b/>
          <w:bCs/>
          <w:sz w:val="24"/>
          <w:szCs w:val="32"/>
        </w:rPr>
        <w:t>纪律监督</w:t>
      </w:r>
    </w:p>
    <w:p w14:paraId="29F3D48E">
      <w:pPr>
        <w:rPr>
          <w:rFonts w:hint="eastAsia"/>
          <w:sz w:val="24"/>
          <w:szCs w:val="32"/>
        </w:rPr>
      </w:pPr>
      <w:r>
        <w:rPr>
          <w:rFonts w:hint="eastAsia"/>
          <w:sz w:val="24"/>
          <w:szCs w:val="32"/>
        </w:rPr>
        <w:t>严禁供应商串通报价、行贿、弄虚作假、干扰评审；一经查实直接废标，3年内禁止参与采购人所有采购项目。</w:t>
      </w:r>
    </w:p>
    <w:p w14:paraId="688E2E06">
      <w:pPr>
        <w:jc w:val="center"/>
        <w:outlineLvl w:val="9"/>
        <w:rPr>
          <w:rFonts w:hint="eastAsia" w:ascii="Times New Roman" w:hAnsi="Times New Roman" w:eastAsia="宋体" w:cs="Times New Roman"/>
          <w:b/>
          <w:bCs/>
          <w:color w:val="auto"/>
          <w:kern w:val="44"/>
          <w:sz w:val="40"/>
          <w:szCs w:val="44"/>
          <w:highlight w:val="none"/>
          <w:lang w:val="en-US" w:eastAsia="zh-CN" w:bidi="ar-SA"/>
        </w:rPr>
      </w:pPr>
    </w:p>
    <w:p w14:paraId="53F56607">
      <w:pPr>
        <w:jc w:val="center"/>
        <w:outlineLvl w:val="9"/>
        <w:rPr>
          <w:rFonts w:hint="eastAsia" w:ascii="Times New Roman" w:hAnsi="Times New Roman" w:eastAsia="宋体" w:cs="Times New Roman"/>
          <w:b/>
          <w:bCs/>
          <w:color w:val="auto"/>
          <w:kern w:val="44"/>
          <w:sz w:val="40"/>
          <w:szCs w:val="44"/>
          <w:highlight w:val="none"/>
          <w:lang w:val="en-US" w:eastAsia="zh-CN" w:bidi="ar-SA"/>
        </w:rPr>
      </w:pPr>
    </w:p>
    <w:p w14:paraId="63A21613">
      <w:pPr>
        <w:jc w:val="center"/>
        <w:outlineLvl w:val="9"/>
        <w:rPr>
          <w:rFonts w:hint="eastAsia" w:ascii="Times New Roman" w:hAnsi="Times New Roman" w:eastAsia="宋体" w:cs="Times New Roman"/>
          <w:b/>
          <w:bCs/>
          <w:color w:val="auto"/>
          <w:kern w:val="44"/>
          <w:sz w:val="40"/>
          <w:szCs w:val="44"/>
          <w:highlight w:val="none"/>
          <w:lang w:val="en-US" w:eastAsia="zh-CN" w:bidi="ar-SA"/>
        </w:rPr>
      </w:pPr>
    </w:p>
    <w:p w14:paraId="4DD6CA16">
      <w:pPr>
        <w:jc w:val="center"/>
        <w:outlineLvl w:val="9"/>
        <w:rPr>
          <w:rFonts w:hint="eastAsia" w:ascii="Times New Roman" w:hAnsi="Times New Roman" w:eastAsia="宋体" w:cs="Times New Roman"/>
          <w:b/>
          <w:bCs/>
          <w:color w:val="auto"/>
          <w:kern w:val="44"/>
          <w:sz w:val="40"/>
          <w:szCs w:val="44"/>
          <w:highlight w:val="none"/>
          <w:lang w:val="en-US" w:eastAsia="zh-CN" w:bidi="ar-SA"/>
        </w:rPr>
      </w:pPr>
    </w:p>
    <w:p w14:paraId="00564DE4">
      <w:pPr>
        <w:jc w:val="center"/>
        <w:outlineLvl w:val="9"/>
        <w:rPr>
          <w:rFonts w:hint="eastAsia" w:ascii="Times New Roman" w:hAnsi="Times New Roman" w:eastAsia="宋体" w:cs="Times New Roman"/>
          <w:b/>
          <w:bCs/>
          <w:color w:val="auto"/>
          <w:kern w:val="44"/>
          <w:sz w:val="40"/>
          <w:szCs w:val="44"/>
          <w:highlight w:val="none"/>
          <w:lang w:val="en-US" w:eastAsia="zh-CN" w:bidi="ar-SA"/>
        </w:rPr>
      </w:pPr>
    </w:p>
    <w:p w14:paraId="16D1E928">
      <w:pPr>
        <w:jc w:val="center"/>
        <w:outlineLvl w:val="9"/>
        <w:rPr>
          <w:rFonts w:hint="eastAsia" w:ascii="Times New Roman" w:hAnsi="Times New Roman" w:eastAsia="宋体" w:cs="Times New Roman"/>
          <w:b/>
          <w:bCs/>
          <w:color w:val="auto"/>
          <w:kern w:val="44"/>
          <w:sz w:val="40"/>
          <w:szCs w:val="44"/>
          <w:highlight w:val="none"/>
          <w:lang w:val="en-US" w:eastAsia="zh-CN" w:bidi="ar-SA"/>
        </w:rPr>
      </w:pPr>
    </w:p>
    <w:p w14:paraId="4DE62F0D">
      <w:pPr>
        <w:jc w:val="center"/>
        <w:outlineLvl w:val="9"/>
        <w:rPr>
          <w:rFonts w:hint="eastAsia" w:ascii="Times New Roman" w:hAnsi="Times New Roman" w:eastAsia="宋体" w:cs="Times New Roman"/>
          <w:b/>
          <w:bCs/>
          <w:color w:val="auto"/>
          <w:kern w:val="44"/>
          <w:sz w:val="40"/>
          <w:szCs w:val="44"/>
          <w:highlight w:val="none"/>
          <w:lang w:val="en-US" w:eastAsia="zh-CN" w:bidi="ar-SA"/>
        </w:rPr>
      </w:pPr>
    </w:p>
    <w:p w14:paraId="114CB00E">
      <w:pPr>
        <w:jc w:val="center"/>
        <w:outlineLvl w:val="9"/>
        <w:rPr>
          <w:rFonts w:hint="eastAsia" w:ascii="Times New Roman" w:hAnsi="Times New Roman" w:eastAsia="宋体" w:cs="Times New Roman"/>
          <w:b/>
          <w:bCs/>
          <w:color w:val="auto"/>
          <w:kern w:val="44"/>
          <w:sz w:val="40"/>
          <w:szCs w:val="44"/>
          <w:highlight w:val="none"/>
          <w:lang w:val="en-US" w:eastAsia="zh-CN" w:bidi="ar-SA"/>
        </w:rPr>
      </w:pPr>
    </w:p>
    <w:p w14:paraId="68C6FC82">
      <w:pPr>
        <w:jc w:val="center"/>
        <w:outlineLvl w:val="9"/>
        <w:rPr>
          <w:rFonts w:hint="eastAsia" w:ascii="Times New Roman" w:hAnsi="Times New Roman" w:eastAsia="宋体" w:cs="Times New Roman"/>
          <w:b/>
          <w:bCs/>
          <w:color w:val="auto"/>
          <w:kern w:val="44"/>
          <w:sz w:val="40"/>
          <w:szCs w:val="44"/>
          <w:highlight w:val="none"/>
          <w:lang w:val="en-US" w:eastAsia="zh-CN" w:bidi="ar-SA"/>
        </w:rPr>
      </w:pPr>
    </w:p>
    <w:p w14:paraId="2727EBC4">
      <w:pPr>
        <w:jc w:val="center"/>
        <w:outlineLvl w:val="9"/>
        <w:rPr>
          <w:rFonts w:hint="eastAsia" w:ascii="Times New Roman" w:hAnsi="Times New Roman" w:eastAsia="宋体" w:cs="Times New Roman"/>
          <w:b/>
          <w:bCs/>
          <w:color w:val="auto"/>
          <w:kern w:val="44"/>
          <w:sz w:val="40"/>
          <w:szCs w:val="44"/>
          <w:highlight w:val="none"/>
          <w:lang w:val="en-US" w:eastAsia="zh-CN" w:bidi="ar-SA"/>
        </w:rPr>
      </w:pPr>
    </w:p>
    <w:p w14:paraId="70BA1AD1">
      <w:pPr>
        <w:jc w:val="center"/>
        <w:outlineLvl w:val="9"/>
        <w:rPr>
          <w:rFonts w:hint="eastAsia" w:ascii="Times New Roman" w:hAnsi="Times New Roman" w:eastAsia="宋体" w:cs="Times New Roman"/>
          <w:b/>
          <w:bCs/>
          <w:color w:val="auto"/>
          <w:kern w:val="44"/>
          <w:sz w:val="40"/>
          <w:szCs w:val="44"/>
          <w:highlight w:val="none"/>
          <w:lang w:val="en-US" w:eastAsia="zh-CN" w:bidi="ar-SA"/>
        </w:rPr>
      </w:pPr>
    </w:p>
    <w:p w14:paraId="23809397">
      <w:pPr>
        <w:jc w:val="center"/>
        <w:outlineLvl w:val="9"/>
        <w:rPr>
          <w:rFonts w:hint="eastAsia" w:ascii="Times New Roman" w:hAnsi="Times New Roman" w:eastAsia="宋体" w:cs="Times New Roman"/>
          <w:b/>
          <w:bCs/>
          <w:color w:val="auto"/>
          <w:kern w:val="44"/>
          <w:sz w:val="40"/>
          <w:szCs w:val="44"/>
          <w:highlight w:val="none"/>
          <w:lang w:val="en-US" w:eastAsia="zh-CN" w:bidi="ar-SA"/>
        </w:rPr>
      </w:pPr>
    </w:p>
    <w:p w14:paraId="550251EC">
      <w:pPr>
        <w:jc w:val="center"/>
        <w:outlineLvl w:val="9"/>
        <w:rPr>
          <w:rFonts w:hint="eastAsia" w:ascii="Times New Roman" w:hAnsi="Times New Roman" w:eastAsia="宋体" w:cs="Times New Roman"/>
          <w:b/>
          <w:bCs/>
          <w:color w:val="auto"/>
          <w:kern w:val="44"/>
          <w:sz w:val="40"/>
          <w:szCs w:val="44"/>
          <w:highlight w:val="none"/>
          <w:lang w:val="en-US" w:eastAsia="zh-CN" w:bidi="ar-SA"/>
        </w:rPr>
      </w:pPr>
    </w:p>
    <w:p w14:paraId="67760734">
      <w:pPr>
        <w:jc w:val="center"/>
        <w:outlineLvl w:val="9"/>
        <w:rPr>
          <w:rFonts w:hint="eastAsia" w:ascii="Times New Roman" w:hAnsi="Times New Roman" w:eastAsia="宋体" w:cs="Times New Roman"/>
          <w:b/>
          <w:bCs/>
          <w:color w:val="auto"/>
          <w:kern w:val="44"/>
          <w:sz w:val="40"/>
          <w:szCs w:val="44"/>
          <w:highlight w:val="none"/>
          <w:lang w:val="en-US" w:eastAsia="zh-CN" w:bidi="ar-SA"/>
        </w:rPr>
      </w:pPr>
    </w:p>
    <w:p w14:paraId="139D510A">
      <w:pPr>
        <w:jc w:val="center"/>
        <w:outlineLvl w:val="9"/>
        <w:rPr>
          <w:rFonts w:hint="eastAsia" w:ascii="Times New Roman" w:hAnsi="Times New Roman" w:eastAsia="宋体" w:cs="Times New Roman"/>
          <w:b/>
          <w:bCs/>
          <w:color w:val="auto"/>
          <w:kern w:val="44"/>
          <w:sz w:val="40"/>
          <w:szCs w:val="44"/>
          <w:highlight w:val="none"/>
          <w:lang w:val="en-US" w:eastAsia="zh-CN" w:bidi="ar-SA"/>
        </w:rPr>
      </w:pPr>
    </w:p>
    <w:p w14:paraId="36191C6B">
      <w:pPr>
        <w:jc w:val="center"/>
        <w:outlineLvl w:val="9"/>
        <w:rPr>
          <w:rFonts w:hint="eastAsia" w:ascii="Times New Roman" w:hAnsi="Times New Roman" w:eastAsia="宋体" w:cs="Times New Roman"/>
          <w:b/>
          <w:bCs/>
          <w:color w:val="auto"/>
          <w:kern w:val="44"/>
          <w:sz w:val="40"/>
          <w:szCs w:val="44"/>
          <w:highlight w:val="none"/>
          <w:lang w:val="en-US" w:eastAsia="zh-CN" w:bidi="ar-SA"/>
        </w:rPr>
      </w:pPr>
    </w:p>
    <w:p w14:paraId="13E31329">
      <w:pPr>
        <w:jc w:val="center"/>
        <w:outlineLvl w:val="9"/>
        <w:rPr>
          <w:rFonts w:hint="eastAsia" w:ascii="Times New Roman" w:hAnsi="Times New Roman" w:eastAsia="宋体" w:cs="Times New Roman"/>
          <w:b/>
          <w:bCs/>
          <w:color w:val="auto"/>
          <w:kern w:val="44"/>
          <w:sz w:val="40"/>
          <w:szCs w:val="44"/>
          <w:highlight w:val="none"/>
          <w:lang w:val="en-US" w:eastAsia="zh-CN" w:bidi="ar-SA"/>
        </w:rPr>
      </w:pPr>
    </w:p>
    <w:p w14:paraId="4BF895FA">
      <w:pPr>
        <w:jc w:val="center"/>
        <w:outlineLvl w:val="9"/>
        <w:rPr>
          <w:rFonts w:hint="eastAsia" w:ascii="Times New Roman" w:hAnsi="Times New Roman" w:eastAsia="宋体" w:cs="Times New Roman"/>
          <w:b/>
          <w:bCs/>
          <w:color w:val="auto"/>
          <w:kern w:val="44"/>
          <w:sz w:val="40"/>
          <w:szCs w:val="44"/>
          <w:highlight w:val="none"/>
          <w:lang w:val="en-US" w:eastAsia="zh-CN" w:bidi="ar-SA"/>
        </w:rPr>
      </w:pPr>
    </w:p>
    <w:p w14:paraId="4B047104">
      <w:pPr>
        <w:keepNext w:val="0"/>
        <w:keepLines w:val="0"/>
        <w:pageBreakBefore w:val="0"/>
        <w:widowControl w:val="0"/>
        <w:kinsoku/>
        <w:wordWrap/>
        <w:overflowPunct/>
        <w:topLinePunct w:val="0"/>
        <w:autoSpaceDE/>
        <w:autoSpaceDN/>
        <w:bidi w:val="0"/>
        <w:adjustRightInd/>
        <w:snapToGrid/>
        <w:spacing w:line="480" w:lineRule="auto"/>
        <w:jc w:val="center"/>
        <w:textAlignment w:val="auto"/>
        <w:outlineLvl w:val="0"/>
        <w:rPr>
          <w:rFonts w:hint="eastAsia" w:ascii="Times New Roman" w:hAnsi="Times New Roman" w:eastAsia="宋体" w:cs="Times New Roman"/>
          <w:b/>
          <w:bCs/>
          <w:color w:val="auto"/>
          <w:kern w:val="44"/>
          <w:sz w:val="40"/>
          <w:szCs w:val="44"/>
          <w:highlight w:val="none"/>
          <w:lang w:val="en-US" w:eastAsia="zh-CN" w:bidi="ar-SA"/>
        </w:rPr>
      </w:pPr>
      <w:bookmarkStart w:id="2" w:name="_Toc173039748"/>
      <w:r>
        <w:rPr>
          <w:rFonts w:hint="eastAsia" w:ascii="Times New Roman" w:hAnsi="Times New Roman" w:eastAsia="宋体" w:cs="Times New Roman"/>
          <w:b/>
          <w:bCs/>
          <w:color w:val="auto"/>
          <w:kern w:val="44"/>
          <w:sz w:val="40"/>
          <w:szCs w:val="44"/>
          <w:highlight w:val="none"/>
          <w:lang w:val="en-US" w:eastAsia="zh-CN" w:bidi="ar-SA"/>
        </w:rPr>
        <w:t>第三章 评审办法（综合评分法）</w:t>
      </w:r>
      <w:bookmarkEnd w:id="2"/>
    </w:p>
    <w:p w14:paraId="303D21B5">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评审办法前附表</w:t>
      </w:r>
    </w:p>
    <w:p w14:paraId="61265A64">
      <w:pPr>
        <w:rPr>
          <w:rFonts w:hint="eastAsia"/>
          <w:b/>
          <w:bCs/>
          <w:sz w:val="24"/>
          <w:szCs w:val="32"/>
        </w:rPr>
      </w:pPr>
      <w:r>
        <w:rPr>
          <w:rFonts w:hint="eastAsia"/>
          <w:b/>
          <w:bCs/>
          <w:sz w:val="24"/>
          <w:szCs w:val="32"/>
        </w:rPr>
        <w:t>一、初步评审（任意一项不满足即否决响应文件）</w:t>
      </w:r>
    </w:p>
    <w:p w14:paraId="3D7276C5">
      <w:pPr>
        <w:rPr>
          <w:rFonts w:hint="eastAsia"/>
          <w:sz w:val="24"/>
          <w:szCs w:val="32"/>
        </w:rPr>
      </w:pPr>
      <w:r>
        <w:rPr>
          <w:rFonts w:hint="eastAsia"/>
          <w:sz w:val="24"/>
          <w:szCs w:val="32"/>
        </w:rPr>
        <w:t>1. 形式评审：供应商名称、文件格式、签字盖章完整合规；</w:t>
      </w:r>
    </w:p>
    <w:p w14:paraId="1CBD4975">
      <w:pPr>
        <w:rPr>
          <w:rFonts w:hint="eastAsia"/>
          <w:sz w:val="24"/>
          <w:szCs w:val="32"/>
        </w:rPr>
      </w:pPr>
      <w:r>
        <w:rPr>
          <w:rFonts w:hint="eastAsia"/>
          <w:sz w:val="24"/>
          <w:szCs w:val="32"/>
        </w:rPr>
        <w:t>2. 资格评审：营业执照、信誉、业绩、技术资质全部满足公告要求；</w:t>
      </w:r>
    </w:p>
    <w:p w14:paraId="20CD37F8">
      <w:pPr>
        <w:rPr>
          <w:rFonts w:hint="eastAsia"/>
          <w:sz w:val="24"/>
          <w:szCs w:val="32"/>
        </w:rPr>
      </w:pPr>
      <w:r>
        <w:rPr>
          <w:rFonts w:hint="eastAsia"/>
          <w:sz w:val="24"/>
          <w:szCs w:val="32"/>
        </w:rPr>
        <w:t>3. 响应性评审：</w:t>
      </w:r>
    </w:p>
    <w:p w14:paraId="4EEABA2B">
      <w:pPr>
        <w:rPr>
          <w:rFonts w:hint="eastAsia"/>
          <w:sz w:val="24"/>
          <w:szCs w:val="32"/>
        </w:rPr>
      </w:pPr>
      <w:r>
        <w:rPr>
          <w:rFonts w:hint="eastAsia"/>
          <w:sz w:val="24"/>
          <w:szCs w:val="32"/>
        </w:rPr>
        <w:t xml:space="preserve">    ① 履约周期3个月初验、1年质保；</w:t>
      </w:r>
    </w:p>
    <w:p w14:paraId="7F417CB9">
      <w:pPr>
        <w:rPr>
          <w:rFonts w:hint="eastAsia"/>
          <w:sz w:val="24"/>
          <w:szCs w:val="32"/>
        </w:rPr>
      </w:pPr>
      <w:r>
        <w:rPr>
          <w:rFonts w:hint="eastAsia"/>
          <w:sz w:val="24"/>
          <w:szCs w:val="32"/>
        </w:rPr>
        <w:t xml:space="preserve">    ② 总价包干报价，提供6%增值税专票；</w:t>
      </w:r>
    </w:p>
    <w:p w14:paraId="79571F0F">
      <w:pPr>
        <w:rPr>
          <w:rFonts w:hint="eastAsia"/>
          <w:sz w:val="24"/>
          <w:szCs w:val="32"/>
        </w:rPr>
      </w:pPr>
      <w:r>
        <w:rPr>
          <w:rFonts w:hint="eastAsia"/>
          <w:sz w:val="24"/>
          <w:szCs w:val="32"/>
        </w:rPr>
        <w:t xml:space="preserve">    ③ 所有系统、大模型、数据库、文件存储内网私有化部署，数据不出本地；</w:t>
      </w:r>
    </w:p>
    <w:p w14:paraId="4C6E2404">
      <w:pPr>
        <w:rPr>
          <w:rFonts w:hint="eastAsia" w:eastAsiaTheme="minorEastAsia"/>
          <w:sz w:val="24"/>
          <w:szCs w:val="32"/>
          <w:lang w:eastAsia="zh-CN"/>
        </w:rPr>
      </w:pPr>
      <w:r>
        <w:rPr>
          <w:rFonts w:hint="eastAsia"/>
          <w:sz w:val="24"/>
          <w:szCs w:val="32"/>
        </w:rPr>
        <w:t xml:space="preserve">    ④项目全部知识产权归采购人所有</w:t>
      </w:r>
      <w:r>
        <w:rPr>
          <w:rFonts w:hint="eastAsia"/>
          <w:sz w:val="24"/>
          <w:szCs w:val="32"/>
          <w:lang w:eastAsia="zh-CN"/>
        </w:rPr>
        <w:t>；</w:t>
      </w:r>
    </w:p>
    <w:p w14:paraId="6180E949">
      <w:pPr>
        <w:rPr>
          <w:rFonts w:hint="eastAsia"/>
          <w:sz w:val="24"/>
          <w:szCs w:val="32"/>
        </w:rPr>
      </w:pPr>
      <w:r>
        <w:rPr>
          <w:rFonts w:hint="eastAsia"/>
          <w:sz w:val="24"/>
          <w:szCs w:val="32"/>
        </w:rPr>
        <w:t xml:space="preserve">    ⑤ 不接受公有云传输交易涉密数据，无厂商技术锁定；</w:t>
      </w:r>
    </w:p>
    <w:p w14:paraId="37D23E39">
      <w:pPr>
        <w:rPr>
          <w:rFonts w:hint="eastAsia"/>
          <w:sz w:val="24"/>
          <w:szCs w:val="32"/>
        </w:rPr>
      </w:pPr>
      <w:r>
        <w:rPr>
          <w:rFonts w:hint="eastAsia"/>
          <w:sz w:val="24"/>
          <w:szCs w:val="32"/>
        </w:rPr>
        <w:t xml:space="preserve">    ⑥ 核心模块不得分包；</w:t>
      </w:r>
    </w:p>
    <w:p w14:paraId="67D16FB7">
      <w:pPr>
        <w:rPr>
          <w:rFonts w:hint="eastAsia"/>
          <w:sz w:val="24"/>
          <w:szCs w:val="32"/>
        </w:rPr>
      </w:pPr>
      <w:r>
        <w:rPr>
          <w:rFonts w:hint="eastAsia"/>
          <w:sz w:val="24"/>
          <w:szCs w:val="32"/>
        </w:rPr>
        <w:t xml:space="preserve">    ⑦ 响应有效期90天；</w:t>
      </w:r>
    </w:p>
    <w:p w14:paraId="5F6B639E">
      <w:pPr>
        <w:rPr>
          <w:rFonts w:hint="eastAsia"/>
          <w:sz w:val="24"/>
          <w:szCs w:val="32"/>
        </w:rPr>
      </w:pPr>
      <w:r>
        <w:rPr>
          <w:rFonts w:hint="eastAsia"/>
          <w:sz w:val="24"/>
          <w:szCs w:val="32"/>
        </w:rPr>
        <w:t xml:space="preserve">    ⑧ 不存在低于成本恶意报价（评审小组有权要求成本说明，无法提供则否决）。</w:t>
      </w:r>
    </w:p>
    <w:p w14:paraId="3244BF96">
      <w:pPr>
        <w:rPr>
          <w:rFonts w:hint="eastAsia"/>
          <w:b/>
          <w:bCs/>
          <w:sz w:val="24"/>
          <w:szCs w:val="32"/>
        </w:rPr>
      </w:pPr>
      <w:r>
        <w:rPr>
          <w:rFonts w:hint="eastAsia"/>
          <w:b/>
          <w:bCs/>
          <w:sz w:val="24"/>
          <w:szCs w:val="32"/>
        </w:rPr>
        <w:t>二、详细评审打分（总分100分）</w:t>
      </w:r>
    </w:p>
    <w:tbl>
      <w:tblPr>
        <w:tblStyle w:val="15"/>
        <w:tblW w:w="7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372"/>
        <w:gridCol w:w="1120"/>
        <w:gridCol w:w="1152"/>
        <w:gridCol w:w="878"/>
        <w:gridCol w:w="4375"/>
      </w:tblGrid>
      <w:tr w14:paraId="4E8DA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527" w:hRule="atLeast"/>
          <w:tblHeader/>
        </w:trPr>
        <w:tc>
          <w:tcPr>
            <w:tcW w:w="372" w:type="dxa"/>
            <w:shd w:val="clear" w:color="auto" w:fill="auto"/>
            <w:tcMar>
              <w:top w:w="60" w:type="dxa"/>
              <w:left w:w="60" w:type="dxa"/>
              <w:bottom w:w="60" w:type="dxa"/>
              <w:right w:w="60" w:type="dxa"/>
            </w:tcMar>
            <w:vAlign w:val="center"/>
          </w:tcPr>
          <w:p w14:paraId="36C85E77">
            <w:pPr>
              <w:keepNext w:val="0"/>
              <w:keepLines w:val="0"/>
              <w:widowControl/>
              <w:suppressLineNumbers w:val="0"/>
              <w:jc w:val="left"/>
              <w:rPr>
                <w:b/>
                <w:bCs/>
                <w:caps w:val="0"/>
                <w:spacing w:val="0"/>
                <w:sz w:val="16"/>
                <w:szCs w:val="20"/>
              </w:rPr>
            </w:pPr>
            <w:r>
              <w:rPr>
                <w:rFonts w:ascii="宋体" w:hAnsi="宋体" w:eastAsia="宋体" w:cs="宋体"/>
                <w:b/>
                <w:bCs/>
                <w:caps w:val="0"/>
                <w:spacing w:val="0"/>
                <w:kern w:val="0"/>
                <w:sz w:val="20"/>
                <w:szCs w:val="20"/>
                <w:lang w:val="en-US" w:eastAsia="zh-CN" w:bidi="ar"/>
              </w:rPr>
              <w:t>序号</w:t>
            </w:r>
          </w:p>
        </w:tc>
        <w:tc>
          <w:tcPr>
            <w:tcW w:w="1120" w:type="dxa"/>
            <w:shd w:val="clear" w:color="auto" w:fill="auto"/>
            <w:tcMar>
              <w:top w:w="60" w:type="dxa"/>
              <w:left w:w="60" w:type="dxa"/>
              <w:bottom w:w="60" w:type="dxa"/>
              <w:right w:w="60" w:type="dxa"/>
            </w:tcMar>
            <w:vAlign w:val="center"/>
          </w:tcPr>
          <w:p w14:paraId="04B45CD3">
            <w:pPr>
              <w:keepNext w:val="0"/>
              <w:keepLines w:val="0"/>
              <w:widowControl/>
              <w:suppressLineNumbers w:val="0"/>
              <w:jc w:val="left"/>
              <w:rPr>
                <w:b/>
                <w:bCs/>
                <w:caps w:val="0"/>
                <w:spacing w:val="0"/>
                <w:sz w:val="16"/>
                <w:szCs w:val="20"/>
              </w:rPr>
            </w:pPr>
            <w:r>
              <w:rPr>
                <w:rFonts w:ascii="宋体" w:hAnsi="宋体" w:eastAsia="宋体" w:cs="宋体"/>
                <w:b/>
                <w:bCs/>
                <w:caps w:val="0"/>
                <w:spacing w:val="0"/>
                <w:kern w:val="0"/>
                <w:sz w:val="20"/>
                <w:szCs w:val="20"/>
                <w:lang w:val="en-US" w:eastAsia="zh-CN" w:bidi="ar"/>
              </w:rPr>
              <w:t>评审维度</w:t>
            </w:r>
          </w:p>
        </w:tc>
        <w:tc>
          <w:tcPr>
            <w:tcW w:w="1152" w:type="dxa"/>
            <w:shd w:val="clear" w:color="auto" w:fill="auto"/>
            <w:tcMar>
              <w:top w:w="60" w:type="dxa"/>
              <w:left w:w="60" w:type="dxa"/>
              <w:bottom w:w="60" w:type="dxa"/>
              <w:right w:w="60" w:type="dxa"/>
            </w:tcMar>
            <w:vAlign w:val="center"/>
          </w:tcPr>
          <w:p w14:paraId="23721035">
            <w:pPr>
              <w:keepNext w:val="0"/>
              <w:keepLines w:val="0"/>
              <w:widowControl/>
              <w:suppressLineNumbers w:val="0"/>
              <w:jc w:val="left"/>
              <w:rPr>
                <w:b/>
                <w:bCs/>
                <w:caps w:val="0"/>
                <w:spacing w:val="0"/>
                <w:sz w:val="16"/>
                <w:szCs w:val="20"/>
              </w:rPr>
            </w:pPr>
            <w:r>
              <w:rPr>
                <w:rFonts w:ascii="宋体" w:hAnsi="宋体" w:eastAsia="宋体" w:cs="宋体"/>
                <w:b/>
                <w:bCs/>
                <w:caps w:val="0"/>
                <w:spacing w:val="0"/>
                <w:kern w:val="0"/>
                <w:sz w:val="20"/>
                <w:szCs w:val="20"/>
                <w:lang w:val="en-US" w:eastAsia="zh-CN" w:bidi="ar"/>
              </w:rPr>
              <w:t>评分项</w:t>
            </w:r>
          </w:p>
        </w:tc>
        <w:tc>
          <w:tcPr>
            <w:tcW w:w="878" w:type="dxa"/>
            <w:shd w:val="clear" w:color="auto" w:fill="auto"/>
            <w:tcMar>
              <w:top w:w="60" w:type="dxa"/>
              <w:left w:w="60" w:type="dxa"/>
              <w:bottom w:w="60" w:type="dxa"/>
              <w:right w:w="60" w:type="dxa"/>
            </w:tcMar>
            <w:vAlign w:val="center"/>
          </w:tcPr>
          <w:p w14:paraId="34D11D91">
            <w:pPr>
              <w:keepNext w:val="0"/>
              <w:keepLines w:val="0"/>
              <w:widowControl/>
              <w:suppressLineNumbers w:val="0"/>
              <w:jc w:val="left"/>
              <w:rPr>
                <w:rFonts w:ascii="宋体" w:hAnsi="宋体" w:eastAsia="宋体" w:cs="宋体"/>
                <w:b/>
                <w:bCs/>
                <w:caps w:val="0"/>
                <w:spacing w:val="0"/>
                <w:kern w:val="0"/>
                <w:sz w:val="20"/>
                <w:szCs w:val="20"/>
                <w:lang w:val="en-US" w:eastAsia="zh-CN" w:bidi="ar"/>
              </w:rPr>
            </w:pPr>
            <w:r>
              <w:rPr>
                <w:rFonts w:ascii="宋体" w:hAnsi="宋体" w:eastAsia="宋体" w:cs="宋体"/>
                <w:b/>
                <w:bCs/>
                <w:caps w:val="0"/>
                <w:spacing w:val="0"/>
                <w:kern w:val="0"/>
                <w:sz w:val="20"/>
                <w:szCs w:val="20"/>
                <w:lang w:val="en-US" w:eastAsia="zh-CN" w:bidi="ar"/>
              </w:rPr>
              <w:t>标准</w:t>
            </w:r>
          </w:p>
          <w:p w14:paraId="7201E8C8">
            <w:pPr>
              <w:keepNext w:val="0"/>
              <w:keepLines w:val="0"/>
              <w:widowControl/>
              <w:suppressLineNumbers w:val="0"/>
              <w:jc w:val="left"/>
              <w:rPr>
                <w:b/>
                <w:bCs/>
                <w:caps w:val="0"/>
                <w:spacing w:val="0"/>
                <w:sz w:val="16"/>
                <w:szCs w:val="20"/>
              </w:rPr>
            </w:pPr>
            <w:r>
              <w:rPr>
                <w:rFonts w:ascii="宋体" w:hAnsi="宋体" w:eastAsia="宋体" w:cs="宋体"/>
                <w:b/>
                <w:bCs/>
                <w:caps w:val="0"/>
                <w:spacing w:val="0"/>
                <w:kern w:val="0"/>
                <w:sz w:val="20"/>
                <w:szCs w:val="20"/>
                <w:lang w:val="en-US" w:eastAsia="zh-CN" w:bidi="ar"/>
              </w:rPr>
              <w:t>分值</w:t>
            </w:r>
          </w:p>
        </w:tc>
        <w:tc>
          <w:tcPr>
            <w:tcW w:w="4375" w:type="dxa"/>
            <w:shd w:val="clear" w:color="auto" w:fill="auto"/>
            <w:tcMar>
              <w:top w:w="60" w:type="dxa"/>
              <w:left w:w="60" w:type="dxa"/>
              <w:bottom w:w="60" w:type="dxa"/>
              <w:right w:w="60" w:type="dxa"/>
            </w:tcMar>
            <w:vAlign w:val="center"/>
          </w:tcPr>
          <w:p w14:paraId="260D3865">
            <w:pPr>
              <w:keepNext w:val="0"/>
              <w:keepLines w:val="0"/>
              <w:widowControl/>
              <w:suppressLineNumbers w:val="0"/>
              <w:jc w:val="left"/>
              <w:rPr>
                <w:b/>
                <w:bCs/>
                <w:caps w:val="0"/>
                <w:spacing w:val="0"/>
                <w:sz w:val="16"/>
                <w:szCs w:val="20"/>
              </w:rPr>
            </w:pPr>
            <w:r>
              <w:rPr>
                <w:rFonts w:ascii="宋体" w:hAnsi="宋体" w:eastAsia="宋体" w:cs="宋体"/>
                <w:b/>
                <w:bCs/>
                <w:caps w:val="0"/>
                <w:spacing w:val="0"/>
                <w:kern w:val="0"/>
                <w:sz w:val="20"/>
                <w:szCs w:val="20"/>
                <w:lang w:val="en-US" w:eastAsia="zh-CN" w:bidi="ar"/>
              </w:rPr>
              <w:t>评审细则</w:t>
            </w:r>
          </w:p>
        </w:tc>
      </w:tr>
      <w:tr w14:paraId="1B3AA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807" w:hRule="atLeast"/>
        </w:trPr>
        <w:tc>
          <w:tcPr>
            <w:tcW w:w="372" w:type="dxa"/>
            <w:shd w:val="clear" w:color="auto" w:fill="auto"/>
            <w:tcMar>
              <w:top w:w="60" w:type="dxa"/>
              <w:left w:w="60" w:type="dxa"/>
              <w:bottom w:w="60" w:type="dxa"/>
              <w:right w:w="60" w:type="dxa"/>
            </w:tcMar>
            <w:vAlign w:val="center"/>
          </w:tcPr>
          <w:p w14:paraId="6A2A840F">
            <w:pPr>
              <w:keepNext w:val="0"/>
              <w:keepLines w:val="0"/>
              <w:widowControl/>
              <w:suppressLineNumbers w:val="0"/>
              <w:jc w:val="left"/>
              <w:rPr>
                <w:caps w:val="0"/>
                <w:spacing w:val="0"/>
                <w:sz w:val="16"/>
                <w:szCs w:val="20"/>
              </w:rPr>
            </w:pPr>
            <w:r>
              <w:rPr>
                <w:rFonts w:ascii="宋体" w:hAnsi="宋体" w:eastAsia="宋体" w:cs="宋体"/>
                <w:caps w:val="0"/>
                <w:spacing w:val="0"/>
                <w:kern w:val="0"/>
                <w:sz w:val="20"/>
                <w:szCs w:val="20"/>
                <w:lang w:val="en-US" w:eastAsia="zh-CN" w:bidi="ar"/>
              </w:rPr>
              <w:t>1</w:t>
            </w:r>
          </w:p>
        </w:tc>
        <w:tc>
          <w:tcPr>
            <w:tcW w:w="1120" w:type="dxa"/>
            <w:shd w:val="clear" w:color="auto" w:fill="auto"/>
            <w:tcMar>
              <w:top w:w="60" w:type="dxa"/>
              <w:left w:w="60" w:type="dxa"/>
              <w:bottom w:w="60" w:type="dxa"/>
              <w:right w:w="60" w:type="dxa"/>
            </w:tcMar>
            <w:vAlign w:val="center"/>
          </w:tcPr>
          <w:p w14:paraId="60AEBC84">
            <w:pPr>
              <w:keepNext w:val="0"/>
              <w:keepLines w:val="0"/>
              <w:widowControl/>
              <w:suppressLineNumbers w:val="0"/>
              <w:jc w:val="left"/>
              <w:rPr>
                <w:caps w:val="0"/>
                <w:spacing w:val="0"/>
                <w:sz w:val="16"/>
                <w:szCs w:val="20"/>
              </w:rPr>
            </w:pPr>
            <w:r>
              <w:rPr>
                <w:rFonts w:ascii="宋体" w:hAnsi="宋体" w:eastAsia="宋体" w:cs="宋体"/>
                <w:caps w:val="0"/>
                <w:spacing w:val="0"/>
                <w:kern w:val="0"/>
                <w:sz w:val="20"/>
                <w:szCs w:val="20"/>
                <w:lang w:val="en-US" w:eastAsia="zh-CN" w:bidi="ar"/>
              </w:rPr>
              <w:t>投标报价（30 分）</w:t>
            </w:r>
          </w:p>
        </w:tc>
        <w:tc>
          <w:tcPr>
            <w:tcW w:w="1152" w:type="dxa"/>
            <w:shd w:val="clear" w:color="auto" w:fill="auto"/>
            <w:tcMar>
              <w:top w:w="60" w:type="dxa"/>
              <w:left w:w="60" w:type="dxa"/>
              <w:bottom w:w="60" w:type="dxa"/>
              <w:right w:w="60" w:type="dxa"/>
            </w:tcMar>
            <w:vAlign w:val="center"/>
          </w:tcPr>
          <w:p w14:paraId="2EF64033">
            <w:pPr>
              <w:keepNext w:val="0"/>
              <w:keepLines w:val="0"/>
              <w:widowControl/>
              <w:suppressLineNumbers w:val="0"/>
              <w:jc w:val="left"/>
              <w:rPr>
                <w:caps w:val="0"/>
                <w:spacing w:val="0"/>
                <w:sz w:val="16"/>
                <w:szCs w:val="20"/>
              </w:rPr>
            </w:pPr>
            <w:r>
              <w:rPr>
                <w:rFonts w:ascii="宋体" w:hAnsi="宋体" w:eastAsia="宋体" w:cs="宋体"/>
                <w:caps w:val="0"/>
                <w:spacing w:val="0"/>
                <w:kern w:val="0"/>
                <w:sz w:val="20"/>
                <w:szCs w:val="20"/>
                <w:lang w:val="en-US" w:eastAsia="zh-CN" w:bidi="ar"/>
              </w:rPr>
              <w:t>报价合理性</w:t>
            </w:r>
          </w:p>
        </w:tc>
        <w:tc>
          <w:tcPr>
            <w:tcW w:w="878" w:type="dxa"/>
            <w:shd w:val="clear" w:color="auto" w:fill="auto"/>
            <w:tcMar>
              <w:top w:w="60" w:type="dxa"/>
              <w:left w:w="60" w:type="dxa"/>
              <w:bottom w:w="60" w:type="dxa"/>
              <w:right w:w="60" w:type="dxa"/>
            </w:tcMar>
            <w:vAlign w:val="center"/>
          </w:tcPr>
          <w:p w14:paraId="543A4A11">
            <w:pPr>
              <w:keepNext w:val="0"/>
              <w:keepLines w:val="0"/>
              <w:widowControl/>
              <w:suppressLineNumbers w:val="0"/>
              <w:jc w:val="left"/>
              <w:rPr>
                <w:caps w:val="0"/>
                <w:spacing w:val="0"/>
                <w:sz w:val="16"/>
                <w:szCs w:val="20"/>
              </w:rPr>
            </w:pPr>
            <w:r>
              <w:rPr>
                <w:rFonts w:ascii="宋体" w:hAnsi="宋体" w:eastAsia="宋体" w:cs="宋体"/>
                <w:caps w:val="0"/>
                <w:spacing w:val="0"/>
                <w:kern w:val="0"/>
                <w:sz w:val="20"/>
                <w:szCs w:val="20"/>
                <w:lang w:val="en-US" w:eastAsia="zh-CN" w:bidi="ar"/>
              </w:rPr>
              <w:t>30 分</w:t>
            </w:r>
          </w:p>
        </w:tc>
        <w:tc>
          <w:tcPr>
            <w:tcW w:w="4375" w:type="dxa"/>
            <w:shd w:val="clear" w:color="auto" w:fill="auto"/>
            <w:tcMar>
              <w:top w:w="60" w:type="dxa"/>
              <w:left w:w="60" w:type="dxa"/>
              <w:bottom w:w="60" w:type="dxa"/>
              <w:right w:w="60" w:type="dxa"/>
            </w:tcMar>
            <w:vAlign w:val="center"/>
          </w:tcPr>
          <w:p w14:paraId="288016A2">
            <w:pPr>
              <w:keepNext w:val="0"/>
              <w:keepLines w:val="0"/>
              <w:widowControl/>
              <w:suppressLineNumbers w:val="0"/>
              <w:jc w:val="left"/>
              <w:rPr>
                <w:caps w:val="0"/>
                <w:spacing w:val="0"/>
                <w:sz w:val="16"/>
                <w:szCs w:val="20"/>
              </w:rPr>
            </w:pPr>
            <w:r>
              <w:rPr>
                <w:rFonts w:ascii="宋体" w:hAnsi="宋体" w:eastAsia="宋体" w:cs="宋体"/>
                <w:caps w:val="0"/>
                <w:spacing w:val="0"/>
                <w:kern w:val="0"/>
                <w:sz w:val="20"/>
                <w:szCs w:val="20"/>
                <w:lang w:val="en-US" w:eastAsia="zh-CN" w:bidi="ar"/>
              </w:rPr>
              <w:t>1. 评标基准价计算：通过初步评审的全部有效响应文件评审价中，</w:t>
            </w:r>
            <w:r>
              <w:rPr>
                <w:rFonts w:hint="eastAsia" w:ascii="宋体" w:hAnsi="宋体" w:eastAsia="宋体" w:cs="宋体"/>
                <w:caps w:val="0"/>
                <w:spacing w:val="0"/>
                <w:kern w:val="0"/>
                <w:sz w:val="20"/>
                <w:szCs w:val="20"/>
                <w:lang w:val="en-US" w:eastAsia="zh-CN" w:bidi="ar"/>
              </w:rPr>
              <w:t>所有</w:t>
            </w:r>
            <w:r>
              <w:rPr>
                <w:rFonts w:ascii="宋体" w:hAnsi="宋体" w:eastAsia="宋体" w:cs="宋体"/>
                <w:caps w:val="0"/>
                <w:spacing w:val="0"/>
                <w:kern w:val="0"/>
                <w:sz w:val="20"/>
                <w:szCs w:val="20"/>
                <w:lang w:val="en-US" w:eastAsia="zh-CN" w:bidi="ar"/>
              </w:rPr>
              <w:t>报价算术平均值为评标基准价；2. 得分计算公式：投标人报价得分＝[评标基准价 ÷ 投标人评审价]×30；3. 报价等于基准价得满分，低于基准价按公式正向得分，高于基准价按公式扣减；4. 恶意低价且无法提供成本佐证材料的，直接否决响应文件。</w:t>
            </w:r>
          </w:p>
        </w:tc>
      </w:tr>
      <w:tr w14:paraId="1C9BE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247" w:hRule="atLeast"/>
        </w:trPr>
        <w:tc>
          <w:tcPr>
            <w:tcW w:w="372" w:type="dxa"/>
            <w:shd w:val="clear" w:color="auto" w:fill="auto"/>
            <w:tcMar>
              <w:top w:w="60" w:type="dxa"/>
              <w:left w:w="60" w:type="dxa"/>
              <w:bottom w:w="60" w:type="dxa"/>
              <w:right w:w="60" w:type="dxa"/>
            </w:tcMar>
            <w:vAlign w:val="center"/>
          </w:tcPr>
          <w:p w14:paraId="2A3D1BE4">
            <w:pPr>
              <w:keepNext w:val="0"/>
              <w:keepLines w:val="0"/>
              <w:widowControl/>
              <w:suppressLineNumbers w:val="0"/>
              <w:jc w:val="left"/>
              <w:rPr>
                <w:caps w:val="0"/>
                <w:spacing w:val="0"/>
                <w:sz w:val="16"/>
                <w:szCs w:val="20"/>
              </w:rPr>
            </w:pPr>
            <w:r>
              <w:rPr>
                <w:rFonts w:ascii="宋体" w:hAnsi="宋体" w:eastAsia="宋体" w:cs="宋体"/>
                <w:caps w:val="0"/>
                <w:spacing w:val="0"/>
                <w:kern w:val="0"/>
                <w:sz w:val="20"/>
                <w:szCs w:val="20"/>
                <w:lang w:val="en-US" w:eastAsia="zh-CN" w:bidi="ar"/>
              </w:rPr>
              <w:t>2</w:t>
            </w:r>
          </w:p>
        </w:tc>
        <w:tc>
          <w:tcPr>
            <w:tcW w:w="1120" w:type="dxa"/>
            <w:shd w:val="clear" w:color="auto" w:fill="auto"/>
            <w:tcMar>
              <w:top w:w="60" w:type="dxa"/>
              <w:left w:w="60" w:type="dxa"/>
              <w:bottom w:w="60" w:type="dxa"/>
              <w:right w:w="60" w:type="dxa"/>
            </w:tcMar>
            <w:vAlign w:val="center"/>
          </w:tcPr>
          <w:p w14:paraId="7CA0D707">
            <w:pPr>
              <w:keepNext w:val="0"/>
              <w:keepLines w:val="0"/>
              <w:widowControl/>
              <w:suppressLineNumbers w:val="0"/>
              <w:jc w:val="left"/>
              <w:rPr>
                <w:caps w:val="0"/>
                <w:spacing w:val="0"/>
                <w:sz w:val="16"/>
                <w:szCs w:val="20"/>
              </w:rPr>
            </w:pPr>
            <w:r>
              <w:rPr>
                <w:rFonts w:ascii="宋体" w:hAnsi="宋体" w:eastAsia="宋体" w:cs="宋体"/>
                <w:caps w:val="0"/>
                <w:spacing w:val="0"/>
                <w:kern w:val="0"/>
                <w:sz w:val="20"/>
                <w:szCs w:val="20"/>
                <w:lang w:val="en-US" w:eastAsia="zh-CN" w:bidi="ar"/>
              </w:rPr>
              <w:t>技术方案（48 分）</w:t>
            </w:r>
          </w:p>
        </w:tc>
        <w:tc>
          <w:tcPr>
            <w:tcW w:w="1152" w:type="dxa"/>
            <w:shd w:val="clear" w:color="auto" w:fill="auto"/>
            <w:tcMar>
              <w:top w:w="60" w:type="dxa"/>
              <w:left w:w="60" w:type="dxa"/>
              <w:bottom w:w="60" w:type="dxa"/>
              <w:right w:w="60" w:type="dxa"/>
            </w:tcMar>
            <w:vAlign w:val="center"/>
          </w:tcPr>
          <w:p w14:paraId="53D82787">
            <w:pPr>
              <w:keepNext w:val="0"/>
              <w:keepLines w:val="0"/>
              <w:widowControl/>
              <w:suppressLineNumbers w:val="0"/>
              <w:jc w:val="left"/>
              <w:rPr>
                <w:caps w:val="0"/>
                <w:spacing w:val="0"/>
                <w:sz w:val="16"/>
                <w:szCs w:val="20"/>
              </w:rPr>
            </w:pPr>
            <w:r>
              <w:rPr>
                <w:rFonts w:ascii="宋体" w:hAnsi="宋体" w:eastAsia="宋体" w:cs="宋体"/>
                <w:caps w:val="0"/>
                <w:spacing w:val="0"/>
                <w:kern w:val="0"/>
                <w:sz w:val="20"/>
                <w:szCs w:val="20"/>
                <w:lang w:val="en-US" w:eastAsia="zh-CN" w:bidi="ar"/>
              </w:rPr>
              <w:t>总体架构、安全与信创设计</w:t>
            </w:r>
          </w:p>
        </w:tc>
        <w:tc>
          <w:tcPr>
            <w:tcW w:w="878" w:type="dxa"/>
            <w:shd w:val="clear" w:color="auto" w:fill="auto"/>
            <w:tcMar>
              <w:top w:w="60" w:type="dxa"/>
              <w:left w:w="60" w:type="dxa"/>
              <w:bottom w:w="60" w:type="dxa"/>
              <w:right w:w="60" w:type="dxa"/>
            </w:tcMar>
            <w:vAlign w:val="center"/>
          </w:tcPr>
          <w:p w14:paraId="2C90EC7B">
            <w:pPr>
              <w:keepNext w:val="0"/>
              <w:keepLines w:val="0"/>
              <w:widowControl/>
              <w:suppressLineNumbers w:val="0"/>
              <w:jc w:val="left"/>
              <w:rPr>
                <w:caps w:val="0"/>
                <w:spacing w:val="0"/>
                <w:sz w:val="16"/>
                <w:szCs w:val="20"/>
              </w:rPr>
            </w:pPr>
            <w:r>
              <w:rPr>
                <w:rFonts w:ascii="宋体" w:hAnsi="宋体" w:eastAsia="宋体" w:cs="宋体"/>
                <w:caps w:val="0"/>
                <w:spacing w:val="0"/>
                <w:kern w:val="0"/>
                <w:sz w:val="20"/>
                <w:szCs w:val="20"/>
                <w:lang w:val="en-US" w:eastAsia="zh-CN" w:bidi="ar"/>
              </w:rPr>
              <w:t>10 分</w:t>
            </w:r>
          </w:p>
        </w:tc>
        <w:tc>
          <w:tcPr>
            <w:tcW w:w="4375" w:type="dxa"/>
            <w:shd w:val="clear" w:color="auto" w:fill="auto"/>
            <w:tcMar>
              <w:top w:w="60" w:type="dxa"/>
              <w:left w:w="60" w:type="dxa"/>
              <w:bottom w:w="60" w:type="dxa"/>
              <w:right w:w="60" w:type="dxa"/>
            </w:tcMar>
            <w:vAlign w:val="center"/>
          </w:tcPr>
          <w:p w14:paraId="00AA37CA">
            <w:pPr>
              <w:keepNext w:val="0"/>
              <w:keepLines w:val="0"/>
              <w:widowControl/>
              <w:suppressLineNumbers w:val="0"/>
              <w:jc w:val="left"/>
              <w:rPr>
                <w:caps w:val="0"/>
                <w:spacing w:val="0"/>
                <w:sz w:val="16"/>
                <w:szCs w:val="20"/>
              </w:rPr>
            </w:pPr>
            <w:r>
              <w:rPr>
                <w:rFonts w:ascii="宋体" w:hAnsi="宋体" w:eastAsia="宋体" w:cs="宋体"/>
                <w:caps w:val="0"/>
                <w:spacing w:val="0"/>
                <w:kern w:val="0"/>
                <w:sz w:val="20"/>
                <w:szCs w:val="20"/>
                <w:lang w:val="en-US" w:eastAsia="zh-CN" w:bidi="ar"/>
              </w:rPr>
              <w:t>完整设计三层架构（交易业务层、AI 办公层、私有化大模型底座），内网数据隔离、全栈信创适配、分级权限、全链路加密、日志审计、数据脱敏、水印管控、防数据外溢方案完善，满足等保 2.0、密码应用合规全部要求得 10 分；架构分层缺失、私有化隔离措施不足、无信创落地细则、安全管控存在明显漏洞，每项扣 2～5 分，扣完为止。</w:t>
            </w:r>
          </w:p>
        </w:tc>
      </w:tr>
      <w:tr w14:paraId="2F402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6539" w:hRule="atLeast"/>
        </w:trPr>
        <w:tc>
          <w:tcPr>
            <w:tcW w:w="372" w:type="dxa"/>
            <w:shd w:val="clear" w:color="auto" w:fill="auto"/>
            <w:tcMar>
              <w:top w:w="60" w:type="dxa"/>
              <w:left w:w="60" w:type="dxa"/>
              <w:bottom w:w="60" w:type="dxa"/>
              <w:right w:w="60" w:type="dxa"/>
            </w:tcMar>
            <w:vAlign w:val="center"/>
          </w:tcPr>
          <w:p w14:paraId="48E884C1">
            <w:pPr>
              <w:keepNext w:val="0"/>
              <w:keepLines w:val="0"/>
              <w:widowControl/>
              <w:suppressLineNumbers w:val="0"/>
              <w:jc w:val="left"/>
              <w:rPr>
                <w:caps w:val="0"/>
                <w:spacing w:val="0"/>
                <w:sz w:val="16"/>
                <w:szCs w:val="20"/>
              </w:rPr>
            </w:pPr>
            <w:r>
              <w:rPr>
                <w:rFonts w:ascii="宋体" w:hAnsi="宋体" w:eastAsia="宋体" w:cs="宋体"/>
                <w:caps w:val="0"/>
                <w:spacing w:val="0"/>
                <w:kern w:val="0"/>
                <w:sz w:val="20"/>
                <w:szCs w:val="20"/>
                <w:lang w:val="en-US" w:eastAsia="zh-CN" w:bidi="ar"/>
              </w:rPr>
              <w:t>3</w:t>
            </w:r>
          </w:p>
        </w:tc>
        <w:tc>
          <w:tcPr>
            <w:tcW w:w="1120" w:type="dxa"/>
            <w:shd w:val="clear" w:color="auto" w:fill="auto"/>
            <w:tcMar>
              <w:top w:w="60" w:type="dxa"/>
              <w:left w:w="60" w:type="dxa"/>
              <w:bottom w:w="60" w:type="dxa"/>
              <w:right w:w="60" w:type="dxa"/>
            </w:tcMar>
            <w:vAlign w:val="center"/>
          </w:tcPr>
          <w:p w14:paraId="76AB6204">
            <w:pPr>
              <w:keepNext w:val="0"/>
              <w:keepLines w:val="0"/>
              <w:widowControl/>
              <w:suppressLineNumbers w:val="0"/>
              <w:jc w:val="left"/>
              <w:rPr>
                <w:caps w:val="0"/>
                <w:spacing w:val="0"/>
                <w:sz w:val="16"/>
                <w:szCs w:val="20"/>
              </w:rPr>
            </w:pPr>
            <w:r>
              <w:rPr>
                <w:rFonts w:ascii="宋体" w:hAnsi="宋体" w:eastAsia="宋体" w:cs="宋体"/>
                <w:caps w:val="0"/>
                <w:spacing w:val="0"/>
                <w:kern w:val="0"/>
                <w:sz w:val="20"/>
                <w:szCs w:val="20"/>
                <w:lang w:val="en-US" w:eastAsia="zh-CN" w:bidi="ar"/>
              </w:rPr>
              <w:t>技术方案（48 分）</w:t>
            </w:r>
          </w:p>
        </w:tc>
        <w:tc>
          <w:tcPr>
            <w:tcW w:w="1152" w:type="dxa"/>
            <w:shd w:val="clear" w:color="auto" w:fill="auto"/>
            <w:tcMar>
              <w:top w:w="60" w:type="dxa"/>
              <w:left w:w="60" w:type="dxa"/>
              <w:bottom w:w="60" w:type="dxa"/>
              <w:right w:w="60" w:type="dxa"/>
            </w:tcMar>
            <w:vAlign w:val="center"/>
          </w:tcPr>
          <w:p w14:paraId="3B3B1F43">
            <w:pPr>
              <w:keepNext w:val="0"/>
              <w:keepLines w:val="0"/>
              <w:widowControl/>
              <w:suppressLineNumbers w:val="0"/>
              <w:jc w:val="left"/>
              <w:rPr>
                <w:caps w:val="0"/>
                <w:spacing w:val="0"/>
                <w:sz w:val="16"/>
                <w:szCs w:val="20"/>
              </w:rPr>
            </w:pPr>
            <w:r>
              <w:rPr>
                <w:rFonts w:ascii="宋体" w:hAnsi="宋体" w:eastAsia="宋体" w:cs="宋体"/>
                <w:caps w:val="0"/>
                <w:spacing w:val="0"/>
                <w:kern w:val="0"/>
                <w:sz w:val="20"/>
                <w:szCs w:val="20"/>
                <w:lang w:val="en-US" w:eastAsia="zh-CN" w:bidi="ar"/>
              </w:rPr>
              <w:t>公共资源交易核心模块实施方案</w:t>
            </w:r>
          </w:p>
        </w:tc>
        <w:tc>
          <w:tcPr>
            <w:tcW w:w="878" w:type="dxa"/>
            <w:shd w:val="clear" w:color="auto" w:fill="auto"/>
            <w:tcMar>
              <w:top w:w="60" w:type="dxa"/>
              <w:left w:w="60" w:type="dxa"/>
              <w:bottom w:w="60" w:type="dxa"/>
              <w:right w:w="60" w:type="dxa"/>
            </w:tcMar>
            <w:vAlign w:val="center"/>
          </w:tcPr>
          <w:p w14:paraId="1E00B9A5">
            <w:pPr>
              <w:keepNext w:val="0"/>
              <w:keepLines w:val="0"/>
              <w:widowControl/>
              <w:suppressLineNumbers w:val="0"/>
              <w:jc w:val="left"/>
              <w:rPr>
                <w:caps w:val="0"/>
                <w:spacing w:val="0"/>
                <w:sz w:val="16"/>
                <w:szCs w:val="20"/>
              </w:rPr>
            </w:pPr>
            <w:r>
              <w:rPr>
                <w:rFonts w:ascii="宋体" w:hAnsi="宋体" w:eastAsia="宋体" w:cs="宋体"/>
                <w:caps w:val="0"/>
                <w:spacing w:val="0"/>
                <w:kern w:val="0"/>
                <w:sz w:val="20"/>
                <w:szCs w:val="20"/>
                <w:lang w:val="en-US" w:eastAsia="zh-CN" w:bidi="ar"/>
              </w:rPr>
              <w:t>14 分</w:t>
            </w:r>
          </w:p>
        </w:tc>
        <w:tc>
          <w:tcPr>
            <w:tcW w:w="4375" w:type="dxa"/>
            <w:shd w:val="clear" w:color="auto" w:fill="auto"/>
            <w:tcMar>
              <w:top w:w="60" w:type="dxa"/>
              <w:left w:w="60" w:type="dxa"/>
              <w:bottom w:w="60" w:type="dxa"/>
              <w:right w:w="60" w:type="dxa"/>
            </w:tcMar>
            <w:vAlign w:val="center"/>
          </w:tcPr>
          <w:p w14:paraId="26913895">
            <w:pPr>
              <w:keepNext w:val="0"/>
              <w:keepLines w:val="0"/>
              <w:widowControl/>
              <w:suppressLineNumbers w:val="0"/>
              <w:jc w:val="left"/>
              <w:rPr>
                <w:caps w:val="0"/>
                <w:spacing w:val="0"/>
                <w:sz w:val="16"/>
                <w:szCs w:val="20"/>
              </w:rPr>
            </w:pPr>
            <w:r>
              <w:rPr>
                <w:rFonts w:ascii="宋体" w:hAnsi="宋体" w:eastAsia="宋体" w:cs="宋体"/>
                <w:caps w:val="0"/>
                <w:spacing w:val="0"/>
                <w:kern w:val="0"/>
                <w:sz w:val="20"/>
                <w:szCs w:val="20"/>
                <w:lang w:val="en-US" w:eastAsia="zh-CN" w:bidi="ar"/>
              </w:rPr>
              <w:t>完整覆盖采购单位 CRM、智能评标机器人、报价风险研判、经营分析驾驶舱、交易知识库、智能问数、交易智能问答全部功能；针对招标文件 AI 合规体检、全自动 AI 清标、标书雷同筛查、围串标预警、自动归档、质疑处置等核心业务场景提供细化落地流程、性能指标保障机制，指标全部达标得 14 分；功能缺失、无落地执行细则、核心指标无保障方案</w:t>
            </w:r>
            <w:r>
              <w:rPr>
                <w:rFonts w:hint="eastAsia" w:ascii="宋体" w:hAnsi="宋体" w:eastAsia="宋体" w:cs="宋体"/>
                <w:caps w:val="0"/>
                <w:spacing w:val="0"/>
                <w:kern w:val="0"/>
                <w:sz w:val="20"/>
                <w:szCs w:val="20"/>
                <w:lang w:val="en-US" w:eastAsia="zh-CN" w:bidi="ar"/>
              </w:rPr>
              <w:t>酌情</w:t>
            </w:r>
            <w:r>
              <w:rPr>
                <w:rFonts w:ascii="宋体" w:hAnsi="宋体" w:eastAsia="宋体" w:cs="宋体"/>
                <w:caps w:val="0"/>
                <w:spacing w:val="0"/>
                <w:kern w:val="0"/>
                <w:sz w:val="20"/>
                <w:szCs w:val="20"/>
                <w:lang w:val="en-US" w:eastAsia="zh-CN" w:bidi="ar"/>
              </w:rPr>
              <w:t>扣分，扣完为止。</w:t>
            </w:r>
          </w:p>
        </w:tc>
      </w:tr>
      <w:tr w14:paraId="2CCB8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965" w:hRule="atLeast"/>
        </w:trPr>
        <w:tc>
          <w:tcPr>
            <w:tcW w:w="372" w:type="dxa"/>
            <w:shd w:val="clear" w:color="auto" w:fill="auto"/>
            <w:tcMar>
              <w:top w:w="60" w:type="dxa"/>
              <w:left w:w="60" w:type="dxa"/>
              <w:bottom w:w="60" w:type="dxa"/>
              <w:right w:w="60" w:type="dxa"/>
            </w:tcMar>
            <w:vAlign w:val="center"/>
          </w:tcPr>
          <w:p w14:paraId="732D019F">
            <w:pPr>
              <w:keepNext w:val="0"/>
              <w:keepLines w:val="0"/>
              <w:widowControl/>
              <w:suppressLineNumbers w:val="0"/>
              <w:jc w:val="left"/>
              <w:rPr>
                <w:caps w:val="0"/>
                <w:spacing w:val="0"/>
                <w:sz w:val="16"/>
                <w:szCs w:val="20"/>
              </w:rPr>
            </w:pPr>
            <w:r>
              <w:rPr>
                <w:rFonts w:ascii="宋体" w:hAnsi="宋体" w:eastAsia="宋体" w:cs="宋体"/>
                <w:caps w:val="0"/>
                <w:spacing w:val="0"/>
                <w:kern w:val="0"/>
                <w:sz w:val="20"/>
                <w:szCs w:val="20"/>
                <w:lang w:val="en-US" w:eastAsia="zh-CN" w:bidi="ar"/>
              </w:rPr>
              <w:t>4</w:t>
            </w:r>
          </w:p>
        </w:tc>
        <w:tc>
          <w:tcPr>
            <w:tcW w:w="1120" w:type="dxa"/>
            <w:shd w:val="clear" w:color="auto" w:fill="auto"/>
            <w:tcMar>
              <w:top w:w="60" w:type="dxa"/>
              <w:left w:w="60" w:type="dxa"/>
              <w:bottom w:w="60" w:type="dxa"/>
              <w:right w:w="60" w:type="dxa"/>
            </w:tcMar>
            <w:vAlign w:val="center"/>
          </w:tcPr>
          <w:p w14:paraId="7EB0E7EA">
            <w:pPr>
              <w:keepNext w:val="0"/>
              <w:keepLines w:val="0"/>
              <w:widowControl/>
              <w:suppressLineNumbers w:val="0"/>
              <w:jc w:val="left"/>
              <w:rPr>
                <w:caps w:val="0"/>
                <w:spacing w:val="0"/>
                <w:sz w:val="16"/>
                <w:szCs w:val="20"/>
              </w:rPr>
            </w:pPr>
            <w:r>
              <w:rPr>
                <w:rFonts w:ascii="宋体" w:hAnsi="宋体" w:eastAsia="宋体" w:cs="宋体"/>
                <w:caps w:val="0"/>
                <w:spacing w:val="0"/>
                <w:kern w:val="0"/>
                <w:sz w:val="20"/>
                <w:szCs w:val="20"/>
                <w:lang w:val="en-US" w:eastAsia="zh-CN" w:bidi="ar"/>
              </w:rPr>
              <w:t>技术方案（48 分）</w:t>
            </w:r>
          </w:p>
        </w:tc>
        <w:tc>
          <w:tcPr>
            <w:tcW w:w="1152" w:type="dxa"/>
            <w:shd w:val="clear" w:color="auto" w:fill="auto"/>
            <w:tcMar>
              <w:top w:w="60" w:type="dxa"/>
              <w:left w:w="60" w:type="dxa"/>
              <w:bottom w:w="60" w:type="dxa"/>
              <w:right w:w="60" w:type="dxa"/>
            </w:tcMar>
            <w:vAlign w:val="center"/>
          </w:tcPr>
          <w:p w14:paraId="62571C07">
            <w:pPr>
              <w:keepNext w:val="0"/>
              <w:keepLines w:val="0"/>
              <w:widowControl/>
              <w:suppressLineNumbers w:val="0"/>
              <w:jc w:val="left"/>
              <w:rPr>
                <w:caps w:val="0"/>
                <w:spacing w:val="0"/>
                <w:sz w:val="16"/>
                <w:szCs w:val="20"/>
              </w:rPr>
            </w:pPr>
            <w:r>
              <w:rPr>
                <w:rFonts w:ascii="宋体" w:hAnsi="宋体" w:eastAsia="宋体" w:cs="宋体"/>
                <w:caps w:val="0"/>
                <w:spacing w:val="0"/>
                <w:kern w:val="0"/>
                <w:sz w:val="20"/>
                <w:szCs w:val="20"/>
                <w:lang w:val="en-US" w:eastAsia="zh-CN" w:bidi="ar"/>
              </w:rPr>
              <w:t>AI 办公辅助模块落地方案</w:t>
            </w:r>
          </w:p>
        </w:tc>
        <w:tc>
          <w:tcPr>
            <w:tcW w:w="878" w:type="dxa"/>
            <w:shd w:val="clear" w:color="auto" w:fill="auto"/>
            <w:tcMar>
              <w:top w:w="60" w:type="dxa"/>
              <w:left w:w="60" w:type="dxa"/>
              <w:bottom w:w="60" w:type="dxa"/>
              <w:right w:w="60" w:type="dxa"/>
            </w:tcMar>
            <w:vAlign w:val="center"/>
          </w:tcPr>
          <w:p w14:paraId="0AF54FC4">
            <w:pPr>
              <w:keepNext w:val="0"/>
              <w:keepLines w:val="0"/>
              <w:widowControl/>
              <w:suppressLineNumbers w:val="0"/>
              <w:jc w:val="left"/>
              <w:rPr>
                <w:caps w:val="0"/>
                <w:spacing w:val="0"/>
                <w:sz w:val="16"/>
                <w:szCs w:val="20"/>
              </w:rPr>
            </w:pPr>
            <w:r>
              <w:rPr>
                <w:rFonts w:ascii="宋体" w:hAnsi="宋体" w:eastAsia="宋体" w:cs="宋体"/>
                <w:caps w:val="0"/>
                <w:spacing w:val="0"/>
                <w:kern w:val="0"/>
                <w:sz w:val="20"/>
                <w:szCs w:val="20"/>
                <w:lang w:val="en-US" w:eastAsia="zh-CN" w:bidi="ar"/>
              </w:rPr>
              <w:t>10 分</w:t>
            </w:r>
          </w:p>
        </w:tc>
        <w:tc>
          <w:tcPr>
            <w:tcW w:w="4375" w:type="dxa"/>
            <w:shd w:val="clear" w:color="auto" w:fill="auto"/>
            <w:tcMar>
              <w:top w:w="60" w:type="dxa"/>
              <w:left w:w="60" w:type="dxa"/>
              <w:bottom w:w="60" w:type="dxa"/>
              <w:right w:w="60" w:type="dxa"/>
            </w:tcMar>
            <w:vAlign w:val="center"/>
          </w:tcPr>
          <w:p w14:paraId="721CCF5B">
            <w:pPr>
              <w:keepNext w:val="0"/>
              <w:keepLines w:val="0"/>
              <w:widowControl/>
              <w:suppressLineNumbers w:val="0"/>
              <w:jc w:val="left"/>
              <w:rPr>
                <w:caps w:val="0"/>
                <w:spacing w:val="0"/>
                <w:sz w:val="16"/>
                <w:szCs w:val="20"/>
              </w:rPr>
            </w:pPr>
            <w:r>
              <w:rPr>
                <w:rFonts w:ascii="宋体" w:hAnsi="宋体" w:eastAsia="宋体" w:cs="宋体"/>
                <w:caps w:val="0"/>
                <w:spacing w:val="0"/>
                <w:kern w:val="0"/>
                <w:sz w:val="20"/>
                <w:szCs w:val="20"/>
                <w:lang w:val="en-US" w:eastAsia="zh-CN" w:bidi="ar"/>
              </w:rPr>
              <w:t>智能文本校对、离线智慧会议、智能报告生成三大模块方案完整，校对 F1 值、语音离线识别率≥97% 等硬性指标全部满足；提供对接 OA、财务、WPS、统一身份集成实施方案，API 响应时效满足需求得 10 分；指标不达标、集成方案缺失、无离线本地化运行保障每项</w:t>
            </w:r>
            <w:r>
              <w:rPr>
                <w:rFonts w:hint="eastAsia" w:ascii="宋体" w:hAnsi="宋体" w:eastAsia="宋体" w:cs="宋体"/>
                <w:caps w:val="0"/>
                <w:spacing w:val="0"/>
                <w:kern w:val="0"/>
                <w:sz w:val="20"/>
                <w:szCs w:val="20"/>
                <w:lang w:val="en-US" w:eastAsia="zh-CN" w:bidi="ar"/>
              </w:rPr>
              <w:t>酌情扣</w:t>
            </w:r>
            <w:r>
              <w:rPr>
                <w:rFonts w:ascii="宋体" w:hAnsi="宋体" w:eastAsia="宋体" w:cs="宋体"/>
                <w:caps w:val="0"/>
                <w:spacing w:val="0"/>
                <w:kern w:val="0"/>
                <w:sz w:val="20"/>
                <w:szCs w:val="20"/>
                <w:lang w:val="en-US" w:eastAsia="zh-CN" w:bidi="ar"/>
              </w:rPr>
              <w:t>分</w:t>
            </w:r>
            <w:r>
              <w:rPr>
                <w:rFonts w:hint="eastAsia" w:ascii="宋体" w:hAnsi="宋体" w:eastAsia="宋体" w:cs="宋体"/>
                <w:caps w:val="0"/>
                <w:spacing w:val="0"/>
                <w:kern w:val="0"/>
                <w:sz w:val="20"/>
                <w:szCs w:val="20"/>
                <w:lang w:val="en-US" w:eastAsia="zh-CN" w:bidi="ar"/>
              </w:rPr>
              <w:t>，</w:t>
            </w:r>
            <w:r>
              <w:rPr>
                <w:rFonts w:ascii="宋体" w:hAnsi="宋体" w:eastAsia="宋体" w:cs="宋体"/>
                <w:caps w:val="0"/>
                <w:spacing w:val="0"/>
                <w:kern w:val="0"/>
                <w:sz w:val="20"/>
                <w:szCs w:val="20"/>
                <w:lang w:val="en-US" w:eastAsia="zh-CN" w:bidi="ar"/>
              </w:rPr>
              <w:t>扣完为止</w:t>
            </w:r>
            <w:r>
              <w:rPr>
                <w:rFonts w:ascii="宋体" w:hAnsi="宋体" w:eastAsia="宋体" w:cs="宋体"/>
                <w:caps w:val="0"/>
                <w:spacing w:val="0"/>
                <w:kern w:val="0"/>
                <w:sz w:val="20"/>
                <w:szCs w:val="20"/>
                <w:lang w:val="en-US" w:eastAsia="zh-CN" w:bidi="ar"/>
              </w:rPr>
              <w:t>。</w:t>
            </w:r>
          </w:p>
        </w:tc>
      </w:tr>
      <w:tr w14:paraId="4B1A1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100" w:hRule="atLeast"/>
        </w:trPr>
        <w:tc>
          <w:tcPr>
            <w:tcW w:w="372" w:type="dxa"/>
            <w:shd w:val="clear" w:color="auto" w:fill="auto"/>
            <w:tcMar>
              <w:top w:w="60" w:type="dxa"/>
              <w:left w:w="60" w:type="dxa"/>
              <w:bottom w:w="60" w:type="dxa"/>
              <w:right w:w="60" w:type="dxa"/>
            </w:tcMar>
            <w:vAlign w:val="center"/>
          </w:tcPr>
          <w:p w14:paraId="67D010DF">
            <w:pPr>
              <w:keepNext w:val="0"/>
              <w:keepLines w:val="0"/>
              <w:widowControl/>
              <w:suppressLineNumbers w:val="0"/>
              <w:jc w:val="left"/>
              <w:rPr>
                <w:caps w:val="0"/>
                <w:spacing w:val="0"/>
                <w:sz w:val="16"/>
                <w:szCs w:val="20"/>
              </w:rPr>
            </w:pPr>
            <w:r>
              <w:rPr>
                <w:rFonts w:ascii="宋体" w:hAnsi="宋体" w:eastAsia="宋体" w:cs="宋体"/>
                <w:caps w:val="0"/>
                <w:spacing w:val="0"/>
                <w:kern w:val="0"/>
                <w:sz w:val="20"/>
                <w:szCs w:val="20"/>
                <w:lang w:val="en-US" w:eastAsia="zh-CN" w:bidi="ar"/>
              </w:rPr>
              <w:t>5</w:t>
            </w:r>
          </w:p>
        </w:tc>
        <w:tc>
          <w:tcPr>
            <w:tcW w:w="1120" w:type="dxa"/>
            <w:shd w:val="clear" w:color="auto" w:fill="auto"/>
            <w:tcMar>
              <w:top w:w="60" w:type="dxa"/>
              <w:left w:w="60" w:type="dxa"/>
              <w:bottom w:w="60" w:type="dxa"/>
              <w:right w:w="60" w:type="dxa"/>
            </w:tcMar>
            <w:vAlign w:val="center"/>
          </w:tcPr>
          <w:p w14:paraId="56D90B5D">
            <w:pPr>
              <w:keepNext w:val="0"/>
              <w:keepLines w:val="0"/>
              <w:widowControl/>
              <w:suppressLineNumbers w:val="0"/>
              <w:jc w:val="left"/>
              <w:rPr>
                <w:caps w:val="0"/>
                <w:spacing w:val="0"/>
                <w:sz w:val="16"/>
                <w:szCs w:val="20"/>
              </w:rPr>
            </w:pPr>
            <w:r>
              <w:rPr>
                <w:rFonts w:ascii="宋体" w:hAnsi="宋体" w:eastAsia="宋体" w:cs="宋体"/>
                <w:caps w:val="0"/>
                <w:spacing w:val="0"/>
                <w:kern w:val="0"/>
                <w:sz w:val="20"/>
                <w:szCs w:val="20"/>
                <w:lang w:val="en-US" w:eastAsia="zh-CN" w:bidi="ar"/>
              </w:rPr>
              <w:t>技术方案（48 分）</w:t>
            </w:r>
          </w:p>
        </w:tc>
        <w:tc>
          <w:tcPr>
            <w:tcW w:w="1152" w:type="dxa"/>
            <w:shd w:val="clear" w:color="auto" w:fill="auto"/>
            <w:tcMar>
              <w:top w:w="60" w:type="dxa"/>
              <w:left w:w="60" w:type="dxa"/>
              <w:bottom w:w="60" w:type="dxa"/>
              <w:right w:w="60" w:type="dxa"/>
            </w:tcMar>
            <w:vAlign w:val="center"/>
          </w:tcPr>
          <w:p w14:paraId="70820C47">
            <w:pPr>
              <w:keepNext w:val="0"/>
              <w:keepLines w:val="0"/>
              <w:widowControl/>
              <w:suppressLineNumbers w:val="0"/>
              <w:jc w:val="left"/>
              <w:rPr>
                <w:caps w:val="0"/>
                <w:spacing w:val="0"/>
                <w:sz w:val="16"/>
                <w:szCs w:val="20"/>
              </w:rPr>
            </w:pPr>
            <w:r>
              <w:rPr>
                <w:rFonts w:ascii="宋体" w:hAnsi="宋体" w:eastAsia="宋体" w:cs="宋体"/>
                <w:caps w:val="0"/>
                <w:spacing w:val="0"/>
                <w:kern w:val="0"/>
                <w:sz w:val="20"/>
                <w:szCs w:val="20"/>
                <w:lang w:val="en-US" w:eastAsia="zh-CN" w:bidi="ar"/>
              </w:rPr>
              <w:t>私有化大模型底座建设方案</w:t>
            </w:r>
          </w:p>
        </w:tc>
        <w:tc>
          <w:tcPr>
            <w:tcW w:w="878" w:type="dxa"/>
            <w:shd w:val="clear" w:color="auto" w:fill="auto"/>
            <w:tcMar>
              <w:top w:w="60" w:type="dxa"/>
              <w:left w:w="60" w:type="dxa"/>
              <w:bottom w:w="60" w:type="dxa"/>
              <w:right w:w="60" w:type="dxa"/>
            </w:tcMar>
            <w:vAlign w:val="center"/>
          </w:tcPr>
          <w:p w14:paraId="22574998">
            <w:pPr>
              <w:keepNext w:val="0"/>
              <w:keepLines w:val="0"/>
              <w:widowControl/>
              <w:suppressLineNumbers w:val="0"/>
              <w:jc w:val="left"/>
              <w:rPr>
                <w:caps w:val="0"/>
                <w:spacing w:val="0"/>
                <w:sz w:val="16"/>
                <w:szCs w:val="20"/>
              </w:rPr>
            </w:pPr>
            <w:r>
              <w:rPr>
                <w:rFonts w:ascii="宋体" w:hAnsi="宋体" w:eastAsia="宋体" w:cs="宋体"/>
                <w:caps w:val="0"/>
                <w:spacing w:val="0"/>
                <w:kern w:val="0"/>
                <w:sz w:val="20"/>
                <w:szCs w:val="20"/>
                <w:lang w:val="en-US" w:eastAsia="zh-CN" w:bidi="ar"/>
              </w:rPr>
              <w:t>8 分</w:t>
            </w:r>
          </w:p>
        </w:tc>
        <w:tc>
          <w:tcPr>
            <w:tcW w:w="4375" w:type="dxa"/>
            <w:shd w:val="clear" w:color="auto" w:fill="auto"/>
            <w:tcMar>
              <w:top w:w="60" w:type="dxa"/>
              <w:left w:w="60" w:type="dxa"/>
              <w:bottom w:w="60" w:type="dxa"/>
              <w:right w:w="60" w:type="dxa"/>
            </w:tcMar>
            <w:vAlign w:val="center"/>
          </w:tcPr>
          <w:p w14:paraId="64867072">
            <w:pPr>
              <w:keepNext w:val="0"/>
              <w:keepLines w:val="0"/>
              <w:widowControl/>
              <w:suppressLineNumbers w:val="0"/>
              <w:jc w:val="left"/>
              <w:rPr>
                <w:caps w:val="0"/>
                <w:spacing w:val="0"/>
                <w:sz w:val="16"/>
                <w:szCs w:val="20"/>
              </w:rPr>
            </w:pPr>
            <w:r>
              <w:rPr>
                <w:rFonts w:ascii="宋体" w:hAnsi="宋体" w:eastAsia="宋体" w:cs="宋体"/>
                <w:caps w:val="0"/>
                <w:spacing w:val="0"/>
                <w:kern w:val="0"/>
                <w:sz w:val="20"/>
                <w:szCs w:val="20"/>
                <w:lang w:val="en-US" w:eastAsia="zh-CN" w:bidi="ar"/>
              </w:rPr>
              <w:t>本地推理服务、向量库、模型管理、算力扩容、自动备份、故障监控告警、版本迭代、无厂商锁定设计完整；支持模型自主调优、提示词本地配置、AI 输出内容溯源复核机制完善得 8 分；缺少本地安全管控、算力扩容、备份恢复方案</w:t>
            </w:r>
            <w:r>
              <w:rPr>
                <w:rFonts w:hint="eastAsia" w:ascii="宋体" w:hAnsi="宋体" w:eastAsia="宋体" w:cs="宋体"/>
                <w:caps w:val="0"/>
                <w:spacing w:val="0"/>
                <w:kern w:val="0"/>
                <w:sz w:val="20"/>
                <w:szCs w:val="20"/>
                <w:lang w:val="en-US" w:eastAsia="zh-CN" w:bidi="ar"/>
              </w:rPr>
              <w:t>酌情扣</w:t>
            </w:r>
            <w:r>
              <w:rPr>
                <w:rFonts w:ascii="宋体" w:hAnsi="宋体" w:eastAsia="宋体" w:cs="宋体"/>
                <w:caps w:val="0"/>
                <w:spacing w:val="0"/>
                <w:kern w:val="0"/>
                <w:sz w:val="20"/>
                <w:szCs w:val="20"/>
                <w:lang w:val="en-US" w:eastAsia="zh-CN" w:bidi="ar"/>
              </w:rPr>
              <w:t>分</w:t>
            </w:r>
            <w:r>
              <w:rPr>
                <w:rFonts w:hint="eastAsia" w:ascii="宋体" w:hAnsi="宋体" w:eastAsia="宋体" w:cs="宋体"/>
                <w:caps w:val="0"/>
                <w:spacing w:val="0"/>
                <w:kern w:val="0"/>
                <w:sz w:val="20"/>
                <w:szCs w:val="20"/>
                <w:lang w:val="en-US" w:eastAsia="zh-CN" w:bidi="ar"/>
              </w:rPr>
              <w:t>，</w:t>
            </w:r>
            <w:r>
              <w:rPr>
                <w:rFonts w:ascii="宋体" w:hAnsi="宋体" w:eastAsia="宋体" w:cs="宋体"/>
                <w:caps w:val="0"/>
                <w:spacing w:val="0"/>
                <w:kern w:val="0"/>
                <w:sz w:val="20"/>
                <w:szCs w:val="20"/>
                <w:lang w:val="en-US" w:eastAsia="zh-CN" w:bidi="ar"/>
              </w:rPr>
              <w:t>扣完为止</w:t>
            </w:r>
            <w:r>
              <w:rPr>
                <w:rFonts w:ascii="宋体" w:hAnsi="宋体" w:eastAsia="宋体" w:cs="宋体"/>
                <w:caps w:val="0"/>
                <w:spacing w:val="0"/>
                <w:kern w:val="0"/>
                <w:sz w:val="20"/>
                <w:szCs w:val="20"/>
                <w:lang w:val="en-US" w:eastAsia="zh-CN" w:bidi="ar"/>
              </w:rPr>
              <w:t>。</w:t>
            </w:r>
          </w:p>
        </w:tc>
      </w:tr>
      <w:tr w14:paraId="4B835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246" w:hRule="atLeast"/>
        </w:trPr>
        <w:tc>
          <w:tcPr>
            <w:tcW w:w="372" w:type="dxa"/>
            <w:shd w:val="clear" w:color="auto" w:fill="auto"/>
            <w:tcMar>
              <w:top w:w="60" w:type="dxa"/>
              <w:left w:w="60" w:type="dxa"/>
              <w:bottom w:w="60" w:type="dxa"/>
              <w:right w:w="60" w:type="dxa"/>
            </w:tcMar>
            <w:vAlign w:val="center"/>
          </w:tcPr>
          <w:p w14:paraId="0BD6E0EC">
            <w:pPr>
              <w:keepNext w:val="0"/>
              <w:keepLines w:val="0"/>
              <w:widowControl/>
              <w:suppressLineNumbers w:val="0"/>
              <w:jc w:val="left"/>
              <w:rPr>
                <w:caps w:val="0"/>
                <w:spacing w:val="0"/>
                <w:sz w:val="16"/>
                <w:szCs w:val="20"/>
              </w:rPr>
            </w:pPr>
            <w:r>
              <w:rPr>
                <w:rFonts w:ascii="宋体" w:hAnsi="宋体" w:eastAsia="宋体" w:cs="宋体"/>
                <w:caps w:val="0"/>
                <w:spacing w:val="0"/>
                <w:kern w:val="0"/>
                <w:sz w:val="20"/>
                <w:szCs w:val="20"/>
                <w:lang w:val="en-US" w:eastAsia="zh-CN" w:bidi="ar"/>
              </w:rPr>
              <w:t>6</w:t>
            </w:r>
          </w:p>
        </w:tc>
        <w:tc>
          <w:tcPr>
            <w:tcW w:w="1120" w:type="dxa"/>
            <w:shd w:val="clear" w:color="auto" w:fill="auto"/>
            <w:tcMar>
              <w:top w:w="60" w:type="dxa"/>
              <w:left w:w="60" w:type="dxa"/>
              <w:bottom w:w="60" w:type="dxa"/>
              <w:right w:w="60" w:type="dxa"/>
            </w:tcMar>
            <w:vAlign w:val="center"/>
          </w:tcPr>
          <w:p w14:paraId="0524DCD0">
            <w:pPr>
              <w:keepNext w:val="0"/>
              <w:keepLines w:val="0"/>
              <w:widowControl/>
              <w:suppressLineNumbers w:val="0"/>
              <w:jc w:val="left"/>
              <w:rPr>
                <w:caps w:val="0"/>
                <w:spacing w:val="0"/>
                <w:sz w:val="16"/>
                <w:szCs w:val="20"/>
              </w:rPr>
            </w:pPr>
            <w:r>
              <w:rPr>
                <w:rFonts w:ascii="宋体" w:hAnsi="宋体" w:eastAsia="宋体" w:cs="宋体"/>
                <w:caps w:val="0"/>
                <w:spacing w:val="0"/>
                <w:kern w:val="0"/>
                <w:sz w:val="20"/>
                <w:szCs w:val="20"/>
                <w:lang w:val="en-US" w:eastAsia="zh-CN" w:bidi="ar"/>
              </w:rPr>
              <w:t>技术方案（48 分）</w:t>
            </w:r>
          </w:p>
        </w:tc>
        <w:tc>
          <w:tcPr>
            <w:tcW w:w="1152" w:type="dxa"/>
            <w:shd w:val="clear" w:color="auto" w:fill="auto"/>
            <w:tcMar>
              <w:top w:w="60" w:type="dxa"/>
              <w:left w:w="60" w:type="dxa"/>
              <w:bottom w:w="60" w:type="dxa"/>
              <w:right w:w="60" w:type="dxa"/>
            </w:tcMar>
            <w:vAlign w:val="center"/>
          </w:tcPr>
          <w:p w14:paraId="3D2CCC0C">
            <w:pPr>
              <w:keepNext w:val="0"/>
              <w:keepLines w:val="0"/>
              <w:widowControl/>
              <w:suppressLineNumbers w:val="0"/>
              <w:jc w:val="left"/>
              <w:rPr>
                <w:caps w:val="0"/>
                <w:spacing w:val="0"/>
                <w:sz w:val="16"/>
                <w:szCs w:val="20"/>
              </w:rPr>
            </w:pPr>
            <w:r>
              <w:rPr>
                <w:rFonts w:ascii="宋体" w:hAnsi="宋体" w:eastAsia="宋体" w:cs="宋体"/>
                <w:caps w:val="0"/>
                <w:spacing w:val="0"/>
                <w:kern w:val="0"/>
                <w:sz w:val="20"/>
                <w:szCs w:val="20"/>
                <w:lang w:val="en-US" w:eastAsia="zh-CN" w:bidi="ar"/>
              </w:rPr>
              <w:t>数据治理、存量档案迁移与测试试运行方案</w:t>
            </w:r>
          </w:p>
        </w:tc>
        <w:tc>
          <w:tcPr>
            <w:tcW w:w="878" w:type="dxa"/>
            <w:shd w:val="clear" w:color="auto" w:fill="auto"/>
            <w:tcMar>
              <w:top w:w="60" w:type="dxa"/>
              <w:left w:w="60" w:type="dxa"/>
              <w:bottom w:w="60" w:type="dxa"/>
              <w:right w:w="60" w:type="dxa"/>
            </w:tcMar>
            <w:vAlign w:val="center"/>
          </w:tcPr>
          <w:p w14:paraId="5AAFE3A1">
            <w:pPr>
              <w:keepNext w:val="0"/>
              <w:keepLines w:val="0"/>
              <w:widowControl/>
              <w:suppressLineNumbers w:val="0"/>
              <w:jc w:val="left"/>
              <w:rPr>
                <w:caps w:val="0"/>
                <w:spacing w:val="0"/>
                <w:sz w:val="16"/>
                <w:szCs w:val="20"/>
              </w:rPr>
            </w:pPr>
            <w:r>
              <w:rPr>
                <w:rFonts w:ascii="宋体" w:hAnsi="宋体" w:eastAsia="宋体" w:cs="宋体"/>
                <w:caps w:val="0"/>
                <w:spacing w:val="0"/>
                <w:kern w:val="0"/>
                <w:sz w:val="20"/>
                <w:szCs w:val="20"/>
                <w:lang w:val="en-US" w:eastAsia="zh-CN" w:bidi="ar"/>
              </w:rPr>
              <w:t>6 分</w:t>
            </w:r>
          </w:p>
        </w:tc>
        <w:tc>
          <w:tcPr>
            <w:tcW w:w="4375" w:type="dxa"/>
            <w:shd w:val="clear" w:color="auto" w:fill="auto"/>
            <w:tcMar>
              <w:top w:w="60" w:type="dxa"/>
              <w:left w:w="60" w:type="dxa"/>
              <w:bottom w:w="60" w:type="dxa"/>
              <w:right w:w="60" w:type="dxa"/>
            </w:tcMar>
            <w:vAlign w:val="center"/>
          </w:tcPr>
          <w:p w14:paraId="65E3A30D">
            <w:pPr>
              <w:keepNext w:val="0"/>
              <w:keepLines w:val="0"/>
              <w:widowControl/>
              <w:suppressLineNumbers w:val="0"/>
              <w:jc w:val="left"/>
              <w:rPr>
                <w:caps w:val="0"/>
                <w:spacing w:val="0"/>
                <w:sz w:val="16"/>
                <w:szCs w:val="20"/>
              </w:rPr>
            </w:pPr>
            <w:r>
              <w:rPr>
                <w:rFonts w:ascii="宋体" w:hAnsi="宋体" w:eastAsia="宋体" w:cs="宋体"/>
                <w:caps w:val="0"/>
                <w:spacing w:val="0"/>
                <w:kern w:val="0"/>
                <w:sz w:val="20"/>
                <w:szCs w:val="20"/>
                <w:lang w:val="en-US" w:eastAsia="zh-CN" w:bidi="ar"/>
              </w:rPr>
              <w:t>存量招标档案、供应商数据、评标资料清洗、标签入库、知识库 / 向量库初始化方案清晰；分阶段测试、试运行问题闭环整改、分层验收方案完整得 6 分；方案简略、无存量数据迁移保障措施酌情扣分</w:t>
            </w:r>
            <w:r>
              <w:rPr>
                <w:rFonts w:hint="eastAsia" w:ascii="宋体" w:hAnsi="宋体" w:eastAsia="宋体" w:cs="宋体"/>
                <w:caps w:val="0"/>
                <w:spacing w:val="0"/>
                <w:kern w:val="0"/>
                <w:sz w:val="20"/>
                <w:szCs w:val="20"/>
                <w:lang w:val="en-US" w:eastAsia="zh-CN" w:bidi="ar"/>
              </w:rPr>
              <w:t>，</w:t>
            </w:r>
            <w:r>
              <w:rPr>
                <w:rFonts w:ascii="宋体" w:hAnsi="宋体" w:eastAsia="宋体" w:cs="宋体"/>
                <w:caps w:val="0"/>
                <w:spacing w:val="0"/>
                <w:kern w:val="0"/>
                <w:sz w:val="20"/>
                <w:szCs w:val="20"/>
                <w:lang w:val="en-US" w:eastAsia="zh-CN" w:bidi="ar"/>
              </w:rPr>
              <w:t>扣完为止</w:t>
            </w:r>
            <w:r>
              <w:rPr>
                <w:rFonts w:ascii="宋体" w:hAnsi="宋体" w:eastAsia="宋体" w:cs="宋体"/>
                <w:caps w:val="0"/>
                <w:spacing w:val="0"/>
                <w:kern w:val="0"/>
                <w:sz w:val="20"/>
                <w:szCs w:val="20"/>
                <w:lang w:val="en-US" w:eastAsia="zh-CN" w:bidi="ar"/>
              </w:rPr>
              <w:t>。</w:t>
            </w:r>
          </w:p>
        </w:tc>
      </w:tr>
      <w:tr w14:paraId="57372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73" w:hRule="atLeast"/>
        </w:trPr>
        <w:tc>
          <w:tcPr>
            <w:tcW w:w="372" w:type="dxa"/>
            <w:shd w:val="clear" w:color="auto" w:fill="auto"/>
            <w:tcMar>
              <w:top w:w="60" w:type="dxa"/>
              <w:left w:w="60" w:type="dxa"/>
              <w:bottom w:w="60" w:type="dxa"/>
              <w:right w:w="60" w:type="dxa"/>
            </w:tcMar>
            <w:vAlign w:val="center"/>
          </w:tcPr>
          <w:p w14:paraId="4D363157">
            <w:pPr>
              <w:keepNext w:val="0"/>
              <w:keepLines w:val="0"/>
              <w:widowControl/>
              <w:suppressLineNumbers w:val="0"/>
              <w:jc w:val="left"/>
              <w:rPr>
                <w:caps w:val="0"/>
                <w:spacing w:val="0"/>
                <w:sz w:val="16"/>
                <w:szCs w:val="20"/>
              </w:rPr>
            </w:pPr>
            <w:r>
              <w:rPr>
                <w:rFonts w:ascii="宋体" w:hAnsi="宋体" w:eastAsia="宋体" w:cs="宋体"/>
                <w:caps w:val="0"/>
                <w:spacing w:val="0"/>
                <w:kern w:val="0"/>
                <w:sz w:val="20"/>
                <w:szCs w:val="20"/>
                <w:lang w:val="en-US" w:eastAsia="zh-CN" w:bidi="ar"/>
              </w:rPr>
              <w:t>7</w:t>
            </w:r>
          </w:p>
        </w:tc>
        <w:tc>
          <w:tcPr>
            <w:tcW w:w="1120" w:type="dxa"/>
            <w:shd w:val="clear" w:color="auto" w:fill="auto"/>
            <w:tcMar>
              <w:top w:w="60" w:type="dxa"/>
              <w:left w:w="60" w:type="dxa"/>
              <w:bottom w:w="60" w:type="dxa"/>
              <w:right w:w="60" w:type="dxa"/>
            </w:tcMar>
            <w:vAlign w:val="center"/>
          </w:tcPr>
          <w:p w14:paraId="06CA6121">
            <w:pPr>
              <w:keepNext w:val="0"/>
              <w:keepLines w:val="0"/>
              <w:widowControl/>
              <w:suppressLineNumbers w:val="0"/>
              <w:jc w:val="left"/>
              <w:rPr>
                <w:caps w:val="0"/>
                <w:spacing w:val="0"/>
                <w:sz w:val="16"/>
                <w:szCs w:val="20"/>
              </w:rPr>
            </w:pPr>
            <w:r>
              <w:rPr>
                <w:rFonts w:ascii="宋体" w:hAnsi="宋体" w:eastAsia="宋体" w:cs="宋体"/>
                <w:caps w:val="0"/>
                <w:spacing w:val="0"/>
                <w:kern w:val="0"/>
                <w:sz w:val="20"/>
                <w:szCs w:val="20"/>
                <w:lang w:val="en-US" w:eastAsia="zh-CN" w:bidi="ar"/>
              </w:rPr>
              <w:t>商务资信及售后服务（22 分）</w:t>
            </w:r>
          </w:p>
        </w:tc>
        <w:tc>
          <w:tcPr>
            <w:tcW w:w="1152" w:type="dxa"/>
            <w:shd w:val="clear" w:color="auto" w:fill="auto"/>
            <w:tcMar>
              <w:top w:w="60" w:type="dxa"/>
              <w:left w:w="60" w:type="dxa"/>
              <w:bottom w:w="60" w:type="dxa"/>
              <w:right w:w="60" w:type="dxa"/>
            </w:tcMar>
            <w:vAlign w:val="center"/>
          </w:tcPr>
          <w:p w14:paraId="35BAD389">
            <w:pPr>
              <w:keepNext w:val="0"/>
              <w:keepLines w:val="0"/>
              <w:widowControl/>
              <w:suppressLineNumbers w:val="0"/>
              <w:jc w:val="left"/>
              <w:rPr>
                <w:caps w:val="0"/>
                <w:spacing w:val="0"/>
                <w:sz w:val="16"/>
                <w:szCs w:val="20"/>
              </w:rPr>
            </w:pPr>
            <w:r>
              <w:rPr>
                <w:rFonts w:ascii="宋体" w:hAnsi="宋体" w:eastAsia="宋体" w:cs="宋体"/>
                <w:caps w:val="0"/>
                <w:spacing w:val="0"/>
                <w:kern w:val="0"/>
                <w:sz w:val="20"/>
                <w:szCs w:val="20"/>
                <w:lang w:val="en-US" w:eastAsia="zh-CN" w:bidi="ar"/>
              </w:rPr>
              <w:t>同类项目业绩</w:t>
            </w:r>
          </w:p>
        </w:tc>
        <w:tc>
          <w:tcPr>
            <w:tcW w:w="878" w:type="dxa"/>
            <w:shd w:val="clear" w:color="auto" w:fill="auto"/>
            <w:tcMar>
              <w:top w:w="60" w:type="dxa"/>
              <w:left w:w="60" w:type="dxa"/>
              <w:bottom w:w="60" w:type="dxa"/>
              <w:right w:w="60" w:type="dxa"/>
            </w:tcMar>
            <w:vAlign w:val="center"/>
          </w:tcPr>
          <w:p w14:paraId="0A55E93A">
            <w:pPr>
              <w:keepNext w:val="0"/>
              <w:keepLines w:val="0"/>
              <w:widowControl/>
              <w:suppressLineNumbers w:val="0"/>
              <w:jc w:val="left"/>
              <w:rPr>
                <w:caps w:val="0"/>
                <w:spacing w:val="0"/>
                <w:sz w:val="16"/>
                <w:szCs w:val="20"/>
              </w:rPr>
            </w:pPr>
            <w:r>
              <w:rPr>
                <w:rFonts w:ascii="宋体" w:hAnsi="宋体" w:eastAsia="宋体" w:cs="宋体"/>
                <w:caps w:val="0"/>
                <w:spacing w:val="0"/>
                <w:kern w:val="0"/>
                <w:sz w:val="20"/>
                <w:szCs w:val="20"/>
                <w:lang w:val="en-US" w:eastAsia="zh-CN" w:bidi="ar"/>
              </w:rPr>
              <w:t>7 分</w:t>
            </w:r>
          </w:p>
        </w:tc>
        <w:tc>
          <w:tcPr>
            <w:tcW w:w="4375" w:type="dxa"/>
            <w:shd w:val="clear" w:color="auto" w:fill="auto"/>
            <w:tcMar>
              <w:top w:w="60" w:type="dxa"/>
              <w:left w:w="60" w:type="dxa"/>
              <w:bottom w:w="60" w:type="dxa"/>
              <w:right w:w="60" w:type="dxa"/>
            </w:tcMar>
            <w:vAlign w:val="center"/>
          </w:tcPr>
          <w:p w14:paraId="0A3B8D6E">
            <w:pPr>
              <w:keepNext w:val="0"/>
              <w:keepLines w:val="0"/>
              <w:widowControl/>
              <w:suppressLineNumbers w:val="0"/>
              <w:jc w:val="left"/>
              <w:rPr>
                <w:caps w:val="0"/>
                <w:spacing w:val="0"/>
                <w:sz w:val="16"/>
                <w:szCs w:val="20"/>
              </w:rPr>
            </w:pPr>
            <w:r>
              <w:rPr>
                <w:rFonts w:ascii="宋体" w:hAnsi="宋体" w:eastAsia="宋体" w:cs="宋体"/>
                <w:caps w:val="0"/>
                <w:spacing w:val="0"/>
                <w:kern w:val="0"/>
                <w:sz w:val="20"/>
                <w:szCs w:val="20"/>
                <w:lang w:val="en-US" w:eastAsia="zh-CN" w:bidi="ar"/>
              </w:rPr>
              <w:t xml:space="preserve">近 3 年（响应截止日前 36 个月）每提供 1 项公共资源交易平台 / 政府采购智能化 / 私有化本地大模型系统实施项目（合同关键页 + </w:t>
            </w:r>
            <w:r>
              <w:rPr>
                <w:rFonts w:hint="eastAsia" w:ascii="宋体" w:hAnsi="宋体" w:eastAsia="宋体" w:cs="宋体"/>
                <w:caps w:val="0"/>
                <w:spacing w:val="0"/>
                <w:kern w:val="0"/>
                <w:sz w:val="20"/>
                <w:szCs w:val="20"/>
                <w:lang w:val="en-US" w:eastAsia="zh-CN" w:bidi="ar"/>
              </w:rPr>
              <w:t>结算发票</w:t>
            </w:r>
            <w:r>
              <w:rPr>
                <w:rFonts w:ascii="宋体" w:hAnsi="宋体" w:eastAsia="宋体" w:cs="宋体"/>
                <w:caps w:val="0"/>
                <w:spacing w:val="0"/>
                <w:kern w:val="0"/>
                <w:sz w:val="20"/>
                <w:szCs w:val="20"/>
                <w:lang w:val="en-US" w:eastAsia="zh-CN" w:bidi="ar"/>
              </w:rPr>
              <w:t xml:space="preserve">证明）得 </w:t>
            </w:r>
            <w:r>
              <w:rPr>
                <w:rFonts w:hint="eastAsia" w:ascii="宋体" w:hAnsi="宋体" w:eastAsia="宋体" w:cs="宋体"/>
                <w:caps w:val="0"/>
                <w:spacing w:val="0"/>
                <w:kern w:val="0"/>
                <w:sz w:val="20"/>
                <w:szCs w:val="20"/>
                <w:lang w:val="en-US" w:eastAsia="zh-CN" w:bidi="ar"/>
              </w:rPr>
              <w:t>3</w:t>
            </w:r>
            <w:r>
              <w:rPr>
                <w:rFonts w:ascii="宋体" w:hAnsi="宋体" w:eastAsia="宋体" w:cs="宋体"/>
                <w:caps w:val="0"/>
                <w:spacing w:val="0"/>
                <w:kern w:val="0"/>
                <w:sz w:val="20"/>
                <w:szCs w:val="20"/>
                <w:lang w:val="en-US" w:eastAsia="zh-CN" w:bidi="ar"/>
              </w:rPr>
              <w:t>分，最高 7 分；无业绩不得分。</w:t>
            </w:r>
          </w:p>
        </w:tc>
      </w:tr>
      <w:tr w14:paraId="6D94A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3673" w:hRule="atLeast"/>
        </w:trPr>
        <w:tc>
          <w:tcPr>
            <w:tcW w:w="372" w:type="dxa"/>
            <w:shd w:val="clear" w:color="auto" w:fill="auto"/>
            <w:tcMar>
              <w:top w:w="60" w:type="dxa"/>
              <w:left w:w="60" w:type="dxa"/>
              <w:bottom w:w="60" w:type="dxa"/>
              <w:right w:w="60" w:type="dxa"/>
            </w:tcMar>
            <w:vAlign w:val="center"/>
          </w:tcPr>
          <w:p w14:paraId="07EBE5D4">
            <w:pPr>
              <w:keepNext w:val="0"/>
              <w:keepLines w:val="0"/>
              <w:widowControl/>
              <w:suppressLineNumbers w:val="0"/>
              <w:jc w:val="left"/>
              <w:rPr>
                <w:caps w:val="0"/>
                <w:spacing w:val="0"/>
                <w:sz w:val="16"/>
                <w:szCs w:val="20"/>
              </w:rPr>
            </w:pPr>
            <w:r>
              <w:rPr>
                <w:rFonts w:ascii="宋体" w:hAnsi="宋体" w:eastAsia="宋体" w:cs="宋体"/>
                <w:caps w:val="0"/>
                <w:spacing w:val="0"/>
                <w:kern w:val="0"/>
                <w:sz w:val="20"/>
                <w:szCs w:val="20"/>
                <w:lang w:val="en-US" w:eastAsia="zh-CN" w:bidi="ar"/>
              </w:rPr>
              <w:t>8</w:t>
            </w:r>
          </w:p>
        </w:tc>
        <w:tc>
          <w:tcPr>
            <w:tcW w:w="1120" w:type="dxa"/>
            <w:shd w:val="clear" w:color="auto" w:fill="auto"/>
            <w:tcMar>
              <w:top w:w="60" w:type="dxa"/>
              <w:left w:w="60" w:type="dxa"/>
              <w:bottom w:w="60" w:type="dxa"/>
              <w:right w:w="60" w:type="dxa"/>
            </w:tcMar>
            <w:vAlign w:val="center"/>
          </w:tcPr>
          <w:p w14:paraId="5730610E">
            <w:pPr>
              <w:keepNext w:val="0"/>
              <w:keepLines w:val="0"/>
              <w:widowControl/>
              <w:suppressLineNumbers w:val="0"/>
              <w:jc w:val="left"/>
              <w:rPr>
                <w:caps w:val="0"/>
                <w:spacing w:val="0"/>
                <w:sz w:val="16"/>
                <w:szCs w:val="20"/>
              </w:rPr>
            </w:pPr>
            <w:r>
              <w:rPr>
                <w:rFonts w:ascii="宋体" w:hAnsi="宋体" w:eastAsia="宋体" w:cs="宋体"/>
                <w:caps w:val="0"/>
                <w:spacing w:val="0"/>
                <w:kern w:val="0"/>
                <w:sz w:val="20"/>
                <w:szCs w:val="20"/>
                <w:lang w:val="en-US" w:eastAsia="zh-CN" w:bidi="ar"/>
              </w:rPr>
              <w:t>商务资信及售后服务（22 分）</w:t>
            </w:r>
          </w:p>
        </w:tc>
        <w:tc>
          <w:tcPr>
            <w:tcW w:w="1152" w:type="dxa"/>
            <w:shd w:val="clear" w:color="auto" w:fill="auto"/>
            <w:tcMar>
              <w:top w:w="60" w:type="dxa"/>
              <w:left w:w="60" w:type="dxa"/>
              <w:bottom w:w="60" w:type="dxa"/>
              <w:right w:w="60" w:type="dxa"/>
            </w:tcMar>
            <w:vAlign w:val="center"/>
          </w:tcPr>
          <w:p w14:paraId="2B776539">
            <w:pPr>
              <w:keepNext w:val="0"/>
              <w:keepLines w:val="0"/>
              <w:widowControl/>
              <w:suppressLineNumbers w:val="0"/>
              <w:jc w:val="left"/>
              <w:rPr>
                <w:caps w:val="0"/>
                <w:spacing w:val="0"/>
                <w:sz w:val="16"/>
                <w:szCs w:val="20"/>
              </w:rPr>
            </w:pPr>
            <w:r>
              <w:rPr>
                <w:rFonts w:ascii="宋体" w:hAnsi="宋体" w:eastAsia="宋体" w:cs="宋体"/>
                <w:caps w:val="0"/>
                <w:spacing w:val="0"/>
                <w:kern w:val="0"/>
                <w:sz w:val="20"/>
                <w:szCs w:val="20"/>
                <w:lang w:val="en-US" w:eastAsia="zh-CN" w:bidi="ar"/>
              </w:rPr>
              <w:t>知识产权与技术资质</w:t>
            </w:r>
          </w:p>
        </w:tc>
        <w:tc>
          <w:tcPr>
            <w:tcW w:w="878" w:type="dxa"/>
            <w:shd w:val="clear" w:color="auto" w:fill="auto"/>
            <w:tcMar>
              <w:top w:w="60" w:type="dxa"/>
              <w:left w:w="60" w:type="dxa"/>
              <w:bottom w:w="60" w:type="dxa"/>
              <w:right w:w="60" w:type="dxa"/>
            </w:tcMar>
            <w:vAlign w:val="center"/>
          </w:tcPr>
          <w:p w14:paraId="67B09095">
            <w:pPr>
              <w:keepNext w:val="0"/>
              <w:keepLines w:val="0"/>
              <w:widowControl/>
              <w:suppressLineNumbers w:val="0"/>
              <w:jc w:val="left"/>
              <w:rPr>
                <w:caps w:val="0"/>
                <w:spacing w:val="0"/>
                <w:sz w:val="16"/>
                <w:szCs w:val="20"/>
              </w:rPr>
            </w:pPr>
            <w:r>
              <w:rPr>
                <w:rFonts w:ascii="宋体" w:hAnsi="宋体" w:eastAsia="宋体" w:cs="宋体"/>
                <w:caps w:val="0"/>
                <w:spacing w:val="0"/>
                <w:kern w:val="0"/>
                <w:sz w:val="20"/>
                <w:szCs w:val="20"/>
                <w:lang w:val="en-US" w:eastAsia="zh-CN" w:bidi="ar"/>
              </w:rPr>
              <w:t>5 分</w:t>
            </w:r>
          </w:p>
        </w:tc>
        <w:tc>
          <w:tcPr>
            <w:tcW w:w="4375" w:type="dxa"/>
            <w:shd w:val="clear" w:color="auto" w:fill="auto"/>
            <w:tcMar>
              <w:top w:w="60" w:type="dxa"/>
              <w:left w:w="60" w:type="dxa"/>
              <w:bottom w:w="60" w:type="dxa"/>
              <w:right w:w="60" w:type="dxa"/>
            </w:tcMar>
            <w:vAlign w:val="center"/>
          </w:tcPr>
          <w:p w14:paraId="095D6CC6">
            <w:pPr>
              <w:keepNext w:val="0"/>
              <w:keepLines w:val="0"/>
              <w:widowControl/>
              <w:suppressLineNumbers w:val="0"/>
              <w:jc w:val="left"/>
              <w:rPr>
                <w:caps w:val="0"/>
                <w:spacing w:val="0"/>
                <w:sz w:val="16"/>
                <w:szCs w:val="20"/>
              </w:rPr>
            </w:pPr>
            <w:r>
              <w:rPr>
                <w:rFonts w:ascii="宋体" w:hAnsi="宋体" w:eastAsia="宋体" w:cs="宋体"/>
                <w:caps w:val="0"/>
                <w:spacing w:val="0"/>
                <w:kern w:val="0"/>
                <w:sz w:val="20"/>
                <w:szCs w:val="20"/>
                <w:lang w:val="en-US" w:eastAsia="zh-CN" w:bidi="ar"/>
              </w:rPr>
              <w:t>具</w:t>
            </w:r>
            <w:r>
              <w:rPr>
                <w:rFonts w:ascii="宋体" w:hAnsi="宋体" w:eastAsia="宋体" w:cs="宋体"/>
                <w:caps w:val="0"/>
                <w:spacing w:val="0"/>
                <w:kern w:val="0"/>
                <w:sz w:val="20"/>
                <w:szCs w:val="20"/>
                <w:lang w:val="en-US" w:eastAsia="zh-CN" w:bidi="ar"/>
              </w:rPr>
              <w:t>备</w:t>
            </w:r>
            <w:r>
              <w:rPr>
                <w:rFonts w:hint="eastAsia" w:ascii="宋体" w:hAnsi="宋体" w:eastAsia="宋体" w:cs="宋体"/>
                <w:caps w:val="0"/>
                <w:spacing w:val="0"/>
                <w:kern w:val="0"/>
                <w:sz w:val="20"/>
                <w:szCs w:val="20"/>
                <w:lang w:val="en-US" w:eastAsia="zh-CN" w:bidi="ar"/>
              </w:rPr>
              <w:t>ISO20000证书、ISO27001证书、ISO27001证书</w:t>
            </w:r>
            <w:r>
              <w:rPr>
                <w:rFonts w:hint="eastAsia"/>
                <w:lang w:val="en-US" w:eastAsia="zh-CN"/>
              </w:rPr>
              <w:t>等</w:t>
            </w:r>
            <w:r>
              <w:rPr>
                <w:rFonts w:ascii="宋体" w:hAnsi="宋体" w:eastAsia="宋体" w:cs="宋体"/>
                <w:caps w:val="0"/>
                <w:spacing w:val="0"/>
                <w:kern w:val="0"/>
                <w:sz w:val="20"/>
                <w:szCs w:val="20"/>
                <w:lang w:val="en-US" w:eastAsia="zh-CN" w:bidi="ar"/>
              </w:rPr>
              <w:t xml:space="preserve">，每项 </w:t>
            </w:r>
            <w:r>
              <w:rPr>
                <w:rFonts w:hint="eastAsia" w:ascii="宋体" w:hAnsi="宋体" w:eastAsia="宋体" w:cs="宋体"/>
                <w:caps w:val="0"/>
                <w:spacing w:val="0"/>
                <w:kern w:val="0"/>
                <w:sz w:val="20"/>
                <w:szCs w:val="20"/>
                <w:lang w:val="en-US" w:eastAsia="zh-CN" w:bidi="ar"/>
              </w:rPr>
              <w:t>1</w:t>
            </w:r>
            <w:r>
              <w:rPr>
                <w:rFonts w:ascii="宋体" w:hAnsi="宋体" w:eastAsia="宋体" w:cs="宋体"/>
                <w:caps w:val="0"/>
                <w:spacing w:val="0"/>
                <w:kern w:val="0"/>
                <w:sz w:val="20"/>
                <w:szCs w:val="20"/>
                <w:lang w:val="en-US" w:eastAsia="zh-CN" w:bidi="ar"/>
              </w:rPr>
              <w:t xml:space="preserve"> 分；持有</w:t>
            </w:r>
            <w:r>
              <w:rPr>
                <w:rFonts w:hint="eastAsia" w:ascii="宋体" w:hAnsi="宋体" w:eastAsia="宋体" w:cs="宋体"/>
                <w:caps w:val="0"/>
                <w:spacing w:val="0"/>
                <w:kern w:val="0"/>
                <w:sz w:val="20"/>
                <w:szCs w:val="20"/>
                <w:lang w:val="en-US" w:eastAsia="zh-CN" w:bidi="ar"/>
              </w:rPr>
              <w:t>信息系统安全</w:t>
            </w:r>
            <w:r>
              <w:rPr>
                <w:rFonts w:ascii="宋体" w:hAnsi="宋体" w:eastAsia="宋体" w:cs="宋体"/>
                <w:caps w:val="0"/>
                <w:spacing w:val="0"/>
                <w:kern w:val="0"/>
                <w:sz w:val="20"/>
                <w:szCs w:val="20"/>
                <w:lang w:val="en-US" w:eastAsia="zh-CN" w:bidi="ar"/>
              </w:rPr>
              <w:t>等保测评、数据安全相关实施资质每项 2 分，满分 5 分；无相关资质不得分。</w:t>
            </w:r>
          </w:p>
        </w:tc>
      </w:tr>
      <w:tr w14:paraId="076FC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393" w:hRule="atLeast"/>
        </w:trPr>
        <w:tc>
          <w:tcPr>
            <w:tcW w:w="372" w:type="dxa"/>
            <w:shd w:val="clear" w:color="auto" w:fill="auto"/>
            <w:tcMar>
              <w:top w:w="60" w:type="dxa"/>
              <w:left w:w="60" w:type="dxa"/>
              <w:bottom w:w="60" w:type="dxa"/>
              <w:right w:w="60" w:type="dxa"/>
            </w:tcMar>
            <w:vAlign w:val="center"/>
          </w:tcPr>
          <w:p w14:paraId="72AB09FF">
            <w:pPr>
              <w:keepNext w:val="0"/>
              <w:keepLines w:val="0"/>
              <w:widowControl/>
              <w:suppressLineNumbers w:val="0"/>
              <w:jc w:val="left"/>
              <w:rPr>
                <w:caps w:val="0"/>
                <w:spacing w:val="0"/>
                <w:sz w:val="16"/>
                <w:szCs w:val="20"/>
              </w:rPr>
            </w:pPr>
            <w:r>
              <w:rPr>
                <w:rFonts w:ascii="宋体" w:hAnsi="宋体" w:eastAsia="宋体" w:cs="宋体"/>
                <w:caps w:val="0"/>
                <w:spacing w:val="0"/>
                <w:kern w:val="0"/>
                <w:sz w:val="20"/>
                <w:szCs w:val="20"/>
                <w:lang w:val="en-US" w:eastAsia="zh-CN" w:bidi="ar"/>
              </w:rPr>
              <w:t>9</w:t>
            </w:r>
          </w:p>
        </w:tc>
        <w:tc>
          <w:tcPr>
            <w:tcW w:w="1120" w:type="dxa"/>
            <w:shd w:val="clear" w:color="auto" w:fill="auto"/>
            <w:tcMar>
              <w:top w:w="60" w:type="dxa"/>
              <w:left w:w="60" w:type="dxa"/>
              <w:bottom w:w="60" w:type="dxa"/>
              <w:right w:w="60" w:type="dxa"/>
            </w:tcMar>
            <w:vAlign w:val="center"/>
          </w:tcPr>
          <w:p w14:paraId="2E429D9E">
            <w:pPr>
              <w:keepNext w:val="0"/>
              <w:keepLines w:val="0"/>
              <w:widowControl/>
              <w:suppressLineNumbers w:val="0"/>
              <w:jc w:val="left"/>
              <w:rPr>
                <w:caps w:val="0"/>
                <w:spacing w:val="0"/>
                <w:sz w:val="16"/>
                <w:szCs w:val="20"/>
              </w:rPr>
            </w:pPr>
            <w:r>
              <w:rPr>
                <w:rFonts w:ascii="宋体" w:hAnsi="宋体" w:eastAsia="宋体" w:cs="宋体"/>
                <w:caps w:val="0"/>
                <w:spacing w:val="0"/>
                <w:kern w:val="0"/>
                <w:sz w:val="20"/>
                <w:szCs w:val="20"/>
                <w:lang w:val="en-US" w:eastAsia="zh-CN" w:bidi="ar"/>
              </w:rPr>
              <w:t>商务资信及售后服务（22 分）</w:t>
            </w:r>
          </w:p>
        </w:tc>
        <w:tc>
          <w:tcPr>
            <w:tcW w:w="1152" w:type="dxa"/>
            <w:shd w:val="clear" w:color="auto" w:fill="auto"/>
            <w:tcMar>
              <w:top w:w="60" w:type="dxa"/>
              <w:left w:w="60" w:type="dxa"/>
              <w:bottom w:w="60" w:type="dxa"/>
              <w:right w:w="60" w:type="dxa"/>
            </w:tcMar>
            <w:vAlign w:val="center"/>
          </w:tcPr>
          <w:p w14:paraId="6364F6A1">
            <w:pPr>
              <w:keepNext w:val="0"/>
              <w:keepLines w:val="0"/>
              <w:widowControl/>
              <w:suppressLineNumbers w:val="0"/>
              <w:jc w:val="left"/>
              <w:rPr>
                <w:caps w:val="0"/>
                <w:spacing w:val="0"/>
                <w:sz w:val="16"/>
                <w:szCs w:val="20"/>
              </w:rPr>
            </w:pPr>
            <w:r>
              <w:rPr>
                <w:rFonts w:ascii="宋体" w:hAnsi="宋体" w:eastAsia="宋体" w:cs="宋体"/>
                <w:caps w:val="0"/>
                <w:spacing w:val="0"/>
                <w:kern w:val="0"/>
                <w:sz w:val="20"/>
                <w:szCs w:val="20"/>
                <w:lang w:val="en-US" w:eastAsia="zh-CN" w:bidi="ar"/>
              </w:rPr>
              <w:t>项目团队配置</w:t>
            </w:r>
          </w:p>
        </w:tc>
        <w:tc>
          <w:tcPr>
            <w:tcW w:w="878" w:type="dxa"/>
            <w:shd w:val="clear" w:color="auto" w:fill="auto"/>
            <w:tcMar>
              <w:top w:w="60" w:type="dxa"/>
              <w:left w:w="60" w:type="dxa"/>
              <w:bottom w:w="60" w:type="dxa"/>
              <w:right w:w="60" w:type="dxa"/>
            </w:tcMar>
            <w:vAlign w:val="center"/>
          </w:tcPr>
          <w:p w14:paraId="1B8816E8">
            <w:pPr>
              <w:keepNext w:val="0"/>
              <w:keepLines w:val="0"/>
              <w:widowControl/>
              <w:suppressLineNumbers w:val="0"/>
              <w:jc w:val="left"/>
              <w:rPr>
                <w:caps w:val="0"/>
                <w:spacing w:val="0"/>
                <w:sz w:val="16"/>
                <w:szCs w:val="20"/>
              </w:rPr>
            </w:pPr>
            <w:r>
              <w:rPr>
                <w:rFonts w:ascii="宋体" w:hAnsi="宋体" w:eastAsia="宋体" w:cs="宋体"/>
                <w:caps w:val="0"/>
                <w:spacing w:val="0"/>
                <w:kern w:val="0"/>
                <w:sz w:val="20"/>
                <w:szCs w:val="20"/>
                <w:lang w:val="en-US" w:eastAsia="zh-CN" w:bidi="ar"/>
              </w:rPr>
              <w:t>4 分</w:t>
            </w:r>
          </w:p>
        </w:tc>
        <w:tc>
          <w:tcPr>
            <w:tcW w:w="4375" w:type="dxa"/>
            <w:shd w:val="clear" w:color="auto" w:fill="auto"/>
            <w:tcMar>
              <w:top w:w="60" w:type="dxa"/>
              <w:left w:w="60" w:type="dxa"/>
              <w:bottom w:w="60" w:type="dxa"/>
              <w:right w:w="60" w:type="dxa"/>
            </w:tcMar>
            <w:vAlign w:val="center"/>
          </w:tcPr>
          <w:p w14:paraId="463EBF3B">
            <w:pPr>
              <w:keepNext w:val="0"/>
              <w:keepLines w:val="0"/>
              <w:widowControl/>
              <w:suppressLineNumbers w:val="0"/>
              <w:jc w:val="left"/>
              <w:rPr>
                <w:caps w:val="0"/>
                <w:spacing w:val="0"/>
                <w:sz w:val="16"/>
                <w:szCs w:val="20"/>
              </w:rPr>
            </w:pPr>
            <w:r>
              <w:rPr>
                <w:rFonts w:ascii="宋体" w:hAnsi="宋体" w:eastAsia="宋体" w:cs="宋体"/>
                <w:caps w:val="0"/>
                <w:spacing w:val="0"/>
                <w:kern w:val="0"/>
                <w:sz w:val="20"/>
                <w:szCs w:val="20"/>
                <w:lang w:val="en-US" w:eastAsia="zh-CN" w:bidi="ar"/>
              </w:rPr>
              <w:t>配置固定专属项目组：项目经理具备同类平台实施经验，配备集成开发、运维人员；明确核心人员稳定保障机制，全员签订保密协议，人员岗位职责清晰</w:t>
            </w:r>
            <w:r>
              <w:rPr>
                <w:rFonts w:hint="eastAsia" w:ascii="宋体" w:hAnsi="宋体" w:eastAsia="宋体" w:cs="宋体"/>
                <w:caps w:val="0"/>
                <w:spacing w:val="0"/>
                <w:kern w:val="0"/>
                <w:sz w:val="20"/>
                <w:szCs w:val="20"/>
                <w:lang w:val="en-US" w:eastAsia="zh-CN" w:bidi="ar"/>
              </w:rPr>
              <w:t>，提供承诺书，</w:t>
            </w:r>
            <w:r>
              <w:rPr>
                <w:rFonts w:ascii="宋体" w:hAnsi="宋体" w:eastAsia="宋体" w:cs="宋体"/>
                <w:caps w:val="0"/>
                <w:spacing w:val="0"/>
                <w:kern w:val="0"/>
                <w:sz w:val="20"/>
                <w:szCs w:val="20"/>
                <w:lang w:val="en-US" w:eastAsia="zh-CN" w:bidi="ar"/>
              </w:rPr>
              <w:t>得 4 分；团队人员配置不全、无人员稳定及保密管控措施酌情扣分</w:t>
            </w:r>
            <w:r>
              <w:rPr>
                <w:rFonts w:hint="eastAsia" w:ascii="宋体" w:hAnsi="宋体" w:eastAsia="宋体" w:cs="宋体"/>
                <w:caps w:val="0"/>
                <w:spacing w:val="0"/>
                <w:kern w:val="0"/>
                <w:sz w:val="20"/>
                <w:szCs w:val="20"/>
                <w:lang w:val="en-US" w:eastAsia="zh-CN" w:bidi="ar"/>
              </w:rPr>
              <w:t>，扣完为止</w:t>
            </w:r>
            <w:r>
              <w:rPr>
                <w:rFonts w:ascii="宋体" w:hAnsi="宋体" w:eastAsia="宋体" w:cs="宋体"/>
                <w:caps w:val="0"/>
                <w:spacing w:val="0"/>
                <w:kern w:val="0"/>
                <w:sz w:val="20"/>
                <w:szCs w:val="20"/>
                <w:lang w:val="en-US" w:eastAsia="zh-CN" w:bidi="ar"/>
              </w:rPr>
              <w:t>。</w:t>
            </w:r>
          </w:p>
        </w:tc>
      </w:tr>
      <w:tr w14:paraId="509A8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303" w:hRule="atLeast"/>
        </w:trPr>
        <w:tc>
          <w:tcPr>
            <w:tcW w:w="372" w:type="dxa"/>
            <w:shd w:val="clear" w:color="auto" w:fill="auto"/>
            <w:tcMar>
              <w:top w:w="60" w:type="dxa"/>
              <w:left w:w="60" w:type="dxa"/>
              <w:bottom w:w="60" w:type="dxa"/>
              <w:right w:w="60" w:type="dxa"/>
            </w:tcMar>
            <w:vAlign w:val="center"/>
          </w:tcPr>
          <w:p w14:paraId="67981440">
            <w:pPr>
              <w:keepNext w:val="0"/>
              <w:keepLines w:val="0"/>
              <w:widowControl/>
              <w:suppressLineNumbers w:val="0"/>
              <w:jc w:val="left"/>
              <w:rPr>
                <w:caps w:val="0"/>
                <w:spacing w:val="0"/>
                <w:sz w:val="16"/>
                <w:szCs w:val="20"/>
              </w:rPr>
            </w:pPr>
            <w:r>
              <w:rPr>
                <w:rFonts w:ascii="宋体" w:hAnsi="宋体" w:eastAsia="宋体" w:cs="宋体"/>
                <w:caps w:val="0"/>
                <w:spacing w:val="0"/>
                <w:kern w:val="0"/>
                <w:sz w:val="20"/>
                <w:szCs w:val="20"/>
                <w:lang w:val="en-US" w:eastAsia="zh-CN" w:bidi="ar"/>
              </w:rPr>
              <w:t>10</w:t>
            </w:r>
          </w:p>
        </w:tc>
        <w:tc>
          <w:tcPr>
            <w:tcW w:w="1120" w:type="dxa"/>
            <w:shd w:val="clear" w:color="auto" w:fill="auto"/>
            <w:tcMar>
              <w:top w:w="60" w:type="dxa"/>
              <w:left w:w="60" w:type="dxa"/>
              <w:bottom w:w="60" w:type="dxa"/>
              <w:right w:w="60" w:type="dxa"/>
            </w:tcMar>
            <w:vAlign w:val="center"/>
          </w:tcPr>
          <w:p w14:paraId="0C72B1B9">
            <w:pPr>
              <w:keepNext w:val="0"/>
              <w:keepLines w:val="0"/>
              <w:widowControl/>
              <w:suppressLineNumbers w:val="0"/>
              <w:jc w:val="left"/>
              <w:rPr>
                <w:caps w:val="0"/>
                <w:spacing w:val="0"/>
                <w:sz w:val="16"/>
                <w:szCs w:val="20"/>
              </w:rPr>
            </w:pPr>
            <w:r>
              <w:rPr>
                <w:rFonts w:ascii="宋体" w:hAnsi="宋体" w:eastAsia="宋体" w:cs="宋体"/>
                <w:caps w:val="0"/>
                <w:spacing w:val="0"/>
                <w:kern w:val="0"/>
                <w:sz w:val="20"/>
                <w:szCs w:val="20"/>
                <w:lang w:val="en-US" w:eastAsia="zh-CN" w:bidi="ar"/>
              </w:rPr>
              <w:t>商务资信及售后服务（22 分）</w:t>
            </w:r>
          </w:p>
        </w:tc>
        <w:tc>
          <w:tcPr>
            <w:tcW w:w="1152" w:type="dxa"/>
            <w:shd w:val="clear" w:color="auto" w:fill="auto"/>
            <w:tcMar>
              <w:top w:w="60" w:type="dxa"/>
              <w:left w:w="60" w:type="dxa"/>
              <w:bottom w:w="60" w:type="dxa"/>
              <w:right w:w="60" w:type="dxa"/>
            </w:tcMar>
            <w:vAlign w:val="center"/>
          </w:tcPr>
          <w:p w14:paraId="1807BD42">
            <w:pPr>
              <w:keepNext w:val="0"/>
              <w:keepLines w:val="0"/>
              <w:widowControl/>
              <w:suppressLineNumbers w:val="0"/>
              <w:jc w:val="left"/>
              <w:rPr>
                <w:caps w:val="0"/>
                <w:spacing w:val="0"/>
                <w:sz w:val="16"/>
                <w:szCs w:val="20"/>
              </w:rPr>
            </w:pPr>
            <w:r>
              <w:rPr>
                <w:rFonts w:ascii="宋体" w:hAnsi="宋体" w:eastAsia="宋体" w:cs="宋体"/>
                <w:caps w:val="0"/>
                <w:spacing w:val="0"/>
                <w:kern w:val="0"/>
                <w:sz w:val="20"/>
                <w:szCs w:val="20"/>
                <w:lang w:val="en-US" w:eastAsia="zh-CN" w:bidi="ar"/>
              </w:rPr>
              <w:t>质保及售后服务方案</w:t>
            </w:r>
          </w:p>
        </w:tc>
        <w:tc>
          <w:tcPr>
            <w:tcW w:w="878" w:type="dxa"/>
            <w:shd w:val="clear" w:color="auto" w:fill="auto"/>
            <w:tcMar>
              <w:top w:w="60" w:type="dxa"/>
              <w:left w:w="60" w:type="dxa"/>
              <w:bottom w:w="60" w:type="dxa"/>
              <w:right w:w="60" w:type="dxa"/>
            </w:tcMar>
            <w:vAlign w:val="center"/>
          </w:tcPr>
          <w:p w14:paraId="02759B37">
            <w:pPr>
              <w:keepNext w:val="0"/>
              <w:keepLines w:val="0"/>
              <w:widowControl/>
              <w:suppressLineNumbers w:val="0"/>
              <w:jc w:val="left"/>
              <w:rPr>
                <w:caps w:val="0"/>
                <w:spacing w:val="0"/>
                <w:sz w:val="16"/>
                <w:szCs w:val="20"/>
              </w:rPr>
            </w:pPr>
            <w:r>
              <w:rPr>
                <w:rFonts w:ascii="宋体" w:hAnsi="宋体" w:eastAsia="宋体" w:cs="宋体"/>
                <w:caps w:val="0"/>
                <w:spacing w:val="0"/>
                <w:kern w:val="0"/>
                <w:sz w:val="20"/>
                <w:szCs w:val="20"/>
                <w:lang w:val="en-US" w:eastAsia="zh-CN" w:bidi="ar"/>
              </w:rPr>
              <w:t>6 分</w:t>
            </w:r>
          </w:p>
        </w:tc>
        <w:tc>
          <w:tcPr>
            <w:tcW w:w="4375" w:type="dxa"/>
            <w:shd w:val="clear" w:color="auto" w:fill="auto"/>
            <w:tcMar>
              <w:top w:w="60" w:type="dxa"/>
              <w:left w:w="60" w:type="dxa"/>
              <w:bottom w:w="60" w:type="dxa"/>
              <w:right w:w="60" w:type="dxa"/>
            </w:tcMar>
            <w:vAlign w:val="center"/>
          </w:tcPr>
          <w:p w14:paraId="50564104">
            <w:pPr>
              <w:keepNext w:val="0"/>
              <w:keepLines w:val="0"/>
              <w:widowControl/>
              <w:suppressLineNumbers w:val="0"/>
              <w:jc w:val="left"/>
              <w:rPr>
                <w:caps w:val="0"/>
                <w:spacing w:val="0"/>
                <w:sz w:val="16"/>
                <w:szCs w:val="20"/>
              </w:rPr>
            </w:pPr>
            <w:r>
              <w:rPr>
                <w:rFonts w:ascii="宋体" w:hAnsi="宋体" w:eastAsia="宋体" w:cs="宋体"/>
                <w:caps w:val="0"/>
                <w:spacing w:val="0"/>
                <w:kern w:val="0"/>
                <w:sz w:val="20"/>
                <w:szCs w:val="20"/>
                <w:lang w:val="en-US" w:eastAsia="zh-CN" w:bidi="ar"/>
              </w:rPr>
              <w:t>1. 故障分级响应完全匹配采购需求：系统宕机 30 分钟应急介入、核心业务中断 1 小时响应、普通故障时效承诺完整，7×24 远程值守、季度词库 / 政策模型免费迭代、定期巡检、版本升级回滚方案完善得 3 分；响应时效不达标每项扣 1 分；2. 分层培训、全套交付物清单、永久保密承诺、质保期满持续运维方案完整清晰得 3 分；缺少培训体系、交付材料不全、保密条款缺失酌情扣 1～2 分。</w:t>
            </w:r>
          </w:p>
        </w:tc>
      </w:tr>
    </w:tbl>
    <w:p w14:paraId="6141C263">
      <w:pPr>
        <w:rPr>
          <w:rFonts w:hint="eastAsia"/>
          <w:sz w:val="24"/>
          <w:szCs w:val="32"/>
        </w:rPr>
      </w:pPr>
    </w:p>
    <w:p w14:paraId="25714E08">
      <w:pPr>
        <w:rPr>
          <w:rFonts w:hint="eastAsia"/>
          <w:sz w:val="24"/>
          <w:szCs w:val="32"/>
        </w:rPr>
      </w:pPr>
    </w:p>
    <w:p w14:paraId="45CAAAEB">
      <w:pPr>
        <w:rPr>
          <w:rFonts w:hint="eastAsia"/>
          <w:b/>
          <w:bCs/>
          <w:sz w:val="24"/>
          <w:szCs w:val="32"/>
        </w:rPr>
      </w:pPr>
      <w:r>
        <w:rPr>
          <w:rFonts w:hint="eastAsia"/>
          <w:b/>
          <w:bCs/>
          <w:sz w:val="24"/>
          <w:szCs w:val="32"/>
        </w:rPr>
        <w:t>评审程序</w:t>
      </w:r>
    </w:p>
    <w:p w14:paraId="51FAA8E6">
      <w:pPr>
        <w:rPr>
          <w:rFonts w:hint="eastAsia"/>
          <w:sz w:val="24"/>
          <w:szCs w:val="32"/>
        </w:rPr>
      </w:pPr>
      <w:r>
        <w:rPr>
          <w:rFonts w:hint="eastAsia"/>
          <w:sz w:val="24"/>
          <w:szCs w:val="32"/>
        </w:rPr>
        <w:t>1. 初步评审：任意条款不满足直接否决；</w:t>
      </w:r>
    </w:p>
    <w:p w14:paraId="28AD2F96">
      <w:pPr>
        <w:rPr>
          <w:rFonts w:hint="eastAsia"/>
          <w:sz w:val="24"/>
          <w:szCs w:val="32"/>
        </w:rPr>
      </w:pPr>
      <w:r>
        <w:rPr>
          <w:rFonts w:hint="eastAsia"/>
          <w:sz w:val="24"/>
          <w:szCs w:val="32"/>
        </w:rPr>
        <w:t>2. 报价修正：大小写不一致以大写为准；总价与分项不符以总价为准同比例修正；供应商不认可修正价直接废标；</w:t>
      </w:r>
    </w:p>
    <w:p w14:paraId="0BA335D1">
      <w:pPr>
        <w:rPr>
          <w:rFonts w:hint="eastAsia"/>
          <w:sz w:val="24"/>
          <w:szCs w:val="32"/>
        </w:rPr>
      </w:pPr>
      <w:r>
        <w:rPr>
          <w:rFonts w:hint="eastAsia"/>
          <w:sz w:val="24"/>
          <w:szCs w:val="32"/>
        </w:rPr>
        <w:t>3. 综合打分：各评委独立打分，取算术平均分为最终得分；</w:t>
      </w:r>
    </w:p>
    <w:p w14:paraId="2A0F0CC1">
      <w:pPr>
        <w:rPr>
          <w:rFonts w:hint="eastAsia"/>
          <w:sz w:val="24"/>
          <w:szCs w:val="32"/>
        </w:rPr>
      </w:pPr>
      <w:r>
        <w:rPr>
          <w:rFonts w:hint="eastAsia"/>
          <w:sz w:val="24"/>
          <w:szCs w:val="32"/>
        </w:rPr>
        <w:t>4. 澄清答疑：评审小组可书面要求供应商澄清，澄清不得改变实质性内容；</w:t>
      </w:r>
    </w:p>
    <w:p w14:paraId="0E9465D4">
      <w:pPr>
        <w:rPr>
          <w:rFonts w:hint="eastAsia"/>
          <w:sz w:val="24"/>
          <w:szCs w:val="32"/>
        </w:rPr>
      </w:pPr>
      <w:r>
        <w:rPr>
          <w:rFonts w:hint="eastAsia"/>
          <w:sz w:val="24"/>
          <w:szCs w:val="32"/>
        </w:rPr>
        <w:t>5. 出具评审报告，推荐第一名作为成交候选人。</w:t>
      </w:r>
    </w:p>
    <w:p w14:paraId="7C025122">
      <w:pPr>
        <w:rPr>
          <w:rFonts w:hint="eastAsia"/>
        </w:rPr>
      </w:pPr>
    </w:p>
    <w:p w14:paraId="7A281CCC">
      <w:pPr>
        <w:rPr>
          <w:rFonts w:hint="eastAsia"/>
        </w:rPr>
      </w:pPr>
    </w:p>
    <w:p w14:paraId="67ADE509">
      <w:pPr>
        <w:rPr>
          <w:rFonts w:hint="eastAsia"/>
        </w:rPr>
      </w:pPr>
    </w:p>
    <w:p w14:paraId="351D2D0E">
      <w:pPr>
        <w:rPr>
          <w:rFonts w:hint="eastAsia"/>
        </w:rPr>
      </w:pPr>
    </w:p>
    <w:p w14:paraId="24F1BBDC">
      <w:pPr>
        <w:rPr>
          <w:rFonts w:hint="eastAsia"/>
        </w:rPr>
      </w:pPr>
    </w:p>
    <w:p w14:paraId="379BD312">
      <w:pPr>
        <w:rPr>
          <w:rFonts w:hint="eastAsia"/>
        </w:rPr>
      </w:pPr>
    </w:p>
    <w:p w14:paraId="625E87A5">
      <w:pPr>
        <w:rPr>
          <w:rFonts w:hint="eastAsia"/>
        </w:rPr>
      </w:pPr>
    </w:p>
    <w:p w14:paraId="609BCEDA">
      <w:pPr>
        <w:rPr>
          <w:rFonts w:hint="eastAsia"/>
        </w:rPr>
      </w:pPr>
    </w:p>
    <w:p w14:paraId="0D0900C9">
      <w:pPr>
        <w:rPr>
          <w:rFonts w:hint="eastAsia"/>
        </w:rPr>
      </w:pPr>
    </w:p>
    <w:p w14:paraId="5D644A64">
      <w:pPr>
        <w:rPr>
          <w:rFonts w:hint="eastAsia"/>
        </w:rPr>
      </w:pPr>
    </w:p>
    <w:p w14:paraId="743EB82A">
      <w:pPr>
        <w:rPr>
          <w:rFonts w:hint="eastAsia"/>
        </w:rPr>
      </w:pPr>
    </w:p>
    <w:p w14:paraId="471DC476">
      <w:pPr>
        <w:rPr>
          <w:rFonts w:hint="eastAsia"/>
        </w:rPr>
      </w:pPr>
    </w:p>
    <w:p w14:paraId="78439EE7">
      <w:pPr>
        <w:rPr>
          <w:rFonts w:hint="eastAsia"/>
        </w:rPr>
      </w:pPr>
    </w:p>
    <w:p w14:paraId="446E143D">
      <w:pPr>
        <w:rPr>
          <w:rFonts w:hint="eastAsia"/>
        </w:rPr>
      </w:pPr>
    </w:p>
    <w:p w14:paraId="17BA33C6">
      <w:pPr>
        <w:rPr>
          <w:rFonts w:hint="eastAsia"/>
        </w:rPr>
      </w:pPr>
    </w:p>
    <w:p w14:paraId="15A81C0A">
      <w:pPr>
        <w:pStyle w:val="2"/>
        <w:numPr>
          <w:ilvl w:val="0"/>
          <w:numId w:val="0"/>
        </w:numPr>
        <w:spacing w:before="312" w:after="312"/>
        <w:jc w:val="center"/>
        <w:rPr>
          <w:rFonts w:hint="eastAsia" w:eastAsia="宋体" w:cs="Times New Roman"/>
          <w:color w:val="auto"/>
          <w:highlight w:val="none"/>
        </w:rPr>
      </w:pPr>
      <w:bookmarkStart w:id="3" w:name="_Toc299381813"/>
      <w:r>
        <w:rPr>
          <w:rFonts w:hint="eastAsia" w:eastAsia="宋体" w:cs="Times New Roman"/>
          <w:color w:val="auto"/>
          <w:highlight w:val="none"/>
        </w:rPr>
        <w:t>第四章 合同条款</w:t>
      </w:r>
      <w:bookmarkEnd w:id="3"/>
    </w:p>
    <w:p w14:paraId="669B94B4">
      <w:pPr>
        <w:jc w:val="center"/>
        <w:rPr>
          <w:rFonts w:hint="eastAsia" w:ascii="宋体" w:hAnsi="宋体" w:eastAsia="宋体" w:cs="宋体"/>
          <w:b/>
          <w:color w:val="auto"/>
          <w:sz w:val="48"/>
          <w:szCs w:val="48"/>
          <w:highlight w:val="none"/>
        </w:rPr>
      </w:pPr>
      <w:r>
        <w:rPr>
          <w:rFonts w:hint="eastAsia" w:ascii="宋体" w:hAnsi="宋体" w:eastAsia="宋体" w:cs="宋体"/>
          <w:b/>
          <w:color w:val="auto"/>
          <w:sz w:val="48"/>
          <w:szCs w:val="48"/>
          <w:highlight w:val="none"/>
        </w:rPr>
        <w:t>智能化招投标平台技术服务合同</w:t>
      </w:r>
    </w:p>
    <w:p w14:paraId="4C840BAB">
      <w:pPr>
        <w:spacing w:line="300" w:lineRule="auto"/>
        <w:ind w:firstLine="560"/>
        <w:rPr>
          <w:rFonts w:hint="eastAsia" w:ascii="宋体" w:hAnsi="宋体" w:eastAsia="宋体" w:cs="宋体"/>
          <w:color w:val="auto"/>
          <w:sz w:val="24"/>
          <w:highlight w:val="none"/>
          <w:u w:val="single"/>
          <w:lang w:eastAsia="zh-CN"/>
        </w:rPr>
      </w:pPr>
      <w:r>
        <w:rPr>
          <w:rFonts w:hint="eastAsia" w:ascii="宋体" w:hAnsi="宋体" w:eastAsia="宋体" w:cs="宋体"/>
          <w:color w:val="auto"/>
          <w:sz w:val="24"/>
          <w:highlight w:val="none"/>
        </w:rPr>
        <w:t>甲方：</w:t>
      </w:r>
      <w:r>
        <w:rPr>
          <w:rFonts w:hint="eastAsia" w:ascii="宋体" w:hAnsi="宋体" w:eastAsia="宋体" w:cs="宋体"/>
          <w:color w:val="auto"/>
          <w:sz w:val="24"/>
          <w:highlight w:val="none"/>
          <w:u w:val="single"/>
          <w:lang w:eastAsia="zh-CN"/>
        </w:rPr>
        <w:t>深圳市云创得力数据有限公司</w:t>
      </w:r>
    </w:p>
    <w:p w14:paraId="6E01088C">
      <w:pPr>
        <w:spacing w:line="300" w:lineRule="auto"/>
        <w:ind w:firstLine="560"/>
        <w:rPr>
          <w:rFonts w:hint="eastAsia" w:ascii="宋体" w:hAnsi="宋体" w:eastAsia="宋体" w:cs="宋体"/>
          <w:color w:val="auto"/>
          <w:sz w:val="24"/>
          <w:highlight w:val="none"/>
        </w:rPr>
      </w:pPr>
      <w:r>
        <w:rPr>
          <w:rFonts w:hint="eastAsia" w:ascii="宋体" w:hAnsi="宋体" w:eastAsia="宋体" w:cs="宋体"/>
          <w:color w:val="auto"/>
          <w:sz w:val="24"/>
          <w:highlight w:val="none"/>
        </w:rPr>
        <w:t>乙方：</w:t>
      </w:r>
      <w:r>
        <w:rPr>
          <w:rFonts w:hint="eastAsia" w:ascii="宋体" w:hAnsi="宋体" w:eastAsia="宋体" w:cs="宋体"/>
          <w:color w:val="auto"/>
          <w:sz w:val="24"/>
          <w:highlight w:val="none"/>
          <w:u w:val="single"/>
        </w:rPr>
        <w:t>成交供应商</w:t>
      </w:r>
    </w:p>
    <w:p w14:paraId="03C3B99D">
      <w:pPr>
        <w:rPr>
          <w:rFonts w:hint="eastAsia"/>
        </w:rPr>
      </w:pPr>
    </w:p>
    <w:p w14:paraId="67507A8A">
      <w:pPr>
        <w:widowControl/>
        <w:spacing w:line="324" w:lineRule="auto"/>
        <w:ind w:firstLine="480" w:firstLineChars="200"/>
        <w:outlineLvl w:val="9"/>
        <w:rPr>
          <w:rFonts w:hint="eastAsia" w:ascii="宋体" w:hAnsi="宋体" w:cs="宋体"/>
          <w:color w:val="auto"/>
          <w:sz w:val="24"/>
          <w:highlight w:val="none"/>
        </w:rPr>
      </w:pPr>
      <w:r>
        <w:rPr>
          <w:rFonts w:hint="eastAsia" w:ascii="宋体" w:hAnsi="宋体" w:cs="宋体"/>
          <w:color w:val="auto"/>
          <w:sz w:val="24"/>
          <w:highlight w:val="none"/>
        </w:rPr>
        <w:t>根据《中华人民共和国民法典》及相关法律法规，本着自愿、平等、诚实信用的原则，甲乙双方协商一致，</w:t>
      </w:r>
      <w:r>
        <w:rPr>
          <w:rFonts w:hint="eastAsia" w:ascii="宋体" w:hAnsi="宋体" w:cs="宋体"/>
          <w:color w:val="auto"/>
          <w:sz w:val="24"/>
          <w:highlight w:val="none"/>
          <w:u w:val="single"/>
        </w:rPr>
        <w:t>就        项目服务</w:t>
      </w:r>
      <w:r>
        <w:rPr>
          <w:rFonts w:hint="eastAsia" w:ascii="宋体" w:hAnsi="宋体" w:cs="宋体"/>
          <w:color w:val="auto"/>
          <w:sz w:val="24"/>
          <w:highlight w:val="none"/>
        </w:rPr>
        <w:t>事宜签订本合同。</w:t>
      </w:r>
    </w:p>
    <w:p w14:paraId="292EC0D2">
      <w:pPr>
        <w:outlineLvl w:val="9"/>
        <w:rPr>
          <w:rFonts w:hint="eastAsia"/>
        </w:rPr>
      </w:pPr>
    </w:p>
    <w:p w14:paraId="4441F3EF">
      <w:pPr>
        <w:numPr>
          <w:ilvl w:val="0"/>
          <w:numId w:val="3"/>
        </w:numPr>
        <w:wordWrap w:val="0"/>
        <w:spacing w:line="300" w:lineRule="auto"/>
        <w:ind w:firstLine="482"/>
        <w:outlineLvl w:val="9"/>
        <w:rPr>
          <w:rFonts w:hint="eastAsia" w:ascii="宋体" w:hAnsi="宋体" w:cs="宋体"/>
          <w:color w:val="auto"/>
          <w:sz w:val="24"/>
          <w:highlight w:val="none"/>
        </w:rPr>
      </w:pPr>
      <w:r>
        <w:rPr>
          <w:rFonts w:hint="eastAsia"/>
        </w:rPr>
        <w:t>一</w:t>
      </w:r>
      <w:r>
        <w:rPr>
          <w:rFonts w:hint="eastAsia" w:ascii="宋体" w:hAnsi="宋体" w:cs="宋体"/>
          <w:color w:val="auto"/>
          <w:sz w:val="24"/>
          <w:highlight w:val="none"/>
        </w:rPr>
        <w:t>服务范围</w:t>
      </w:r>
    </w:p>
    <w:p w14:paraId="5B1EB3E5">
      <w:pPr>
        <w:numPr>
          <w:ilvl w:val="1"/>
          <w:numId w:val="3"/>
        </w:numPr>
        <w:wordWrap w:val="0"/>
        <w:spacing w:line="300" w:lineRule="auto"/>
        <w:ind w:firstLine="480"/>
        <w:outlineLvl w:val="9"/>
        <w:rPr>
          <w:rFonts w:hint="eastAsia" w:ascii="宋体" w:hAnsi="宋体" w:cs="宋体"/>
          <w:color w:val="auto"/>
          <w:sz w:val="24"/>
          <w:highlight w:val="none"/>
        </w:rPr>
      </w:pPr>
      <w:r>
        <w:rPr>
          <w:rFonts w:hint="eastAsia" w:ascii="宋体" w:hAnsi="宋体" w:cs="宋体"/>
          <w:color w:val="auto"/>
          <w:sz w:val="24"/>
          <w:highlight w:val="none"/>
          <w:u w:val="single"/>
        </w:rPr>
        <w:t xml:space="preserve">                  技术服务 </w:t>
      </w:r>
    </w:p>
    <w:p w14:paraId="737180C4">
      <w:pPr>
        <w:numPr>
          <w:ilvl w:val="0"/>
          <w:numId w:val="3"/>
        </w:numPr>
        <w:wordWrap w:val="0"/>
        <w:spacing w:line="300" w:lineRule="auto"/>
        <w:ind w:firstLine="482"/>
        <w:outlineLvl w:val="9"/>
        <w:rPr>
          <w:rFonts w:hint="eastAsia" w:ascii="宋体" w:hAnsi="宋体" w:cs="宋体"/>
          <w:color w:val="auto"/>
          <w:sz w:val="24"/>
          <w:highlight w:val="none"/>
        </w:rPr>
      </w:pPr>
      <w:r>
        <w:rPr>
          <w:rFonts w:hint="eastAsia" w:ascii="宋体" w:hAnsi="宋体" w:cs="宋体"/>
          <w:color w:val="auto"/>
          <w:sz w:val="24"/>
          <w:highlight w:val="none"/>
        </w:rPr>
        <w:t>服务内容和时限</w:t>
      </w:r>
    </w:p>
    <w:p w14:paraId="39A40EEA">
      <w:pPr>
        <w:numPr>
          <w:ilvl w:val="1"/>
          <w:numId w:val="3"/>
        </w:numPr>
        <w:wordWrap w:val="0"/>
        <w:spacing w:line="300" w:lineRule="auto"/>
        <w:ind w:firstLine="480"/>
        <w:outlineLvl w:val="9"/>
        <w:rPr>
          <w:rFonts w:hint="eastAsia" w:ascii="宋体" w:hAnsi="宋体" w:cs="宋体"/>
          <w:color w:val="auto"/>
          <w:sz w:val="24"/>
          <w:highlight w:val="none"/>
          <w:u w:val="single"/>
        </w:rPr>
      </w:pPr>
      <w:r>
        <w:rPr>
          <w:rFonts w:hint="eastAsia" w:ascii="宋体" w:hAnsi="宋体" w:cs="宋体"/>
          <w:color w:val="auto"/>
          <w:sz w:val="24"/>
          <w:highlight w:val="none"/>
        </w:rPr>
        <w:t>服务内容：</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技术服务，具体服务要求详见附件一</w:t>
      </w:r>
    </w:p>
    <w:p w14:paraId="5277FD40">
      <w:pPr>
        <w:numPr>
          <w:ilvl w:val="1"/>
          <w:numId w:val="3"/>
        </w:numPr>
        <w:wordWrap w:val="0"/>
        <w:spacing w:line="300" w:lineRule="auto"/>
        <w:ind w:firstLine="480"/>
        <w:outlineLvl w:val="9"/>
        <w:rPr>
          <w:rFonts w:hint="eastAsia" w:ascii="宋体" w:hAnsi="宋体" w:cs="宋体"/>
          <w:color w:val="auto"/>
          <w:sz w:val="24"/>
          <w:highlight w:val="none"/>
          <w:u w:val="single"/>
        </w:rPr>
      </w:pPr>
      <w:r>
        <w:rPr>
          <w:rFonts w:hint="eastAsia" w:ascii="宋体" w:hAnsi="宋体" w:cs="宋体"/>
          <w:color w:val="auto"/>
          <w:sz w:val="24"/>
          <w:highlight w:val="none"/>
        </w:rPr>
        <w:t>服务期限：</w:t>
      </w:r>
      <w:r>
        <w:rPr>
          <w:rFonts w:hint="eastAsia" w:ascii="宋体" w:hAnsi="宋体" w:cs="宋体"/>
          <w:color w:val="auto"/>
          <w:sz w:val="24"/>
          <w:highlight w:val="none"/>
          <w:u w:val="single"/>
        </w:rPr>
        <w:t xml:space="preserve">                             </w:t>
      </w:r>
    </w:p>
    <w:p w14:paraId="2D3F984D">
      <w:pPr>
        <w:numPr>
          <w:ilvl w:val="0"/>
          <w:numId w:val="3"/>
        </w:numPr>
        <w:wordWrap w:val="0"/>
        <w:spacing w:line="300" w:lineRule="auto"/>
        <w:ind w:firstLine="482"/>
        <w:outlineLvl w:val="9"/>
        <w:rPr>
          <w:rFonts w:hint="eastAsia" w:ascii="宋体" w:hAnsi="宋体" w:cs="宋体"/>
          <w:color w:val="auto"/>
          <w:sz w:val="24"/>
          <w:highlight w:val="none"/>
        </w:rPr>
      </w:pPr>
      <w:r>
        <w:rPr>
          <w:rFonts w:hint="eastAsia" w:ascii="宋体" w:hAnsi="宋体" w:cs="宋体"/>
          <w:color w:val="auto"/>
          <w:sz w:val="24"/>
          <w:highlight w:val="none"/>
        </w:rPr>
        <w:t>甲方权利义务</w:t>
      </w:r>
    </w:p>
    <w:p w14:paraId="1F7429A2">
      <w:pPr>
        <w:numPr>
          <w:ilvl w:val="1"/>
          <w:numId w:val="3"/>
        </w:numPr>
        <w:wordWrap w:val="0"/>
        <w:spacing w:line="300" w:lineRule="auto"/>
        <w:ind w:firstLine="480"/>
        <w:outlineLvl w:val="9"/>
        <w:rPr>
          <w:rFonts w:hint="eastAsia" w:ascii="宋体" w:hAnsi="宋体" w:cs="宋体"/>
          <w:color w:val="auto"/>
          <w:sz w:val="24"/>
          <w:highlight w:val="none"/>
        </w:rPr>
      </w:pPr>
      <w:r>
        <w:rPr>
          <w:rFonts w:hint="eastAsia" w:ascii="宋体" w:hAnsi="宋体" w:cs="宋体"/>
          <w:color w:val="auto"/>
          <w:sz w:val="24"/>
          <w:highlight w:val="none"/>
        </w:rPr>
        <w:t>甲方权利与义务</w:t>
      </w:r>
    </w:p>
    <w:p w14:paraId="67769D75">
      <w:pPr>
        <w:numPr>
          <w:ilvl w:val="2"/>
          <w:numId w:val="3"/>
        </w:numPr>
        <w:wordWrap w:val="0"/>
        <w:spacing w:line="300" w:lineRule="auto"/>
        <w:ind w:firstLine="480"/>
        <w:outlineLvl w:val="9"/>
        <w:rPr>
          <w:rFonts w:hint="eastAsia" w:ascii="宋体" w:hAnsi="宋体" w:cs="宋体"/>
          <w:color w:val="auto"/>
          <w:sz w:val="24"/>
          <w:highlight w:val="none"/>
        </w:rPr>
      </w:pPr>
      <w:r>
        <w:rPr>
          <w:rFonts w:hint="eastAsia" w:ascii="宋体" w:hAnsi="宋体" w:cs="宋体"/>
          <w:color w:val="auto"/>
          <w:sz w:val="24"/>
          <w:highlight w:val="none"/>
        </w:rPr>
        <w:t>甲方应按合同约定向乙方支付服务费用。</w:t>
      </w:r>
    </w:p>
    <w:p w14:paraId="3E77F2B9">
      <w:pPr>
        <w:numPr>
          <w:ilvl w:val="2"/>
          <w:numId w:val="3"/>
        </w:numPr>
        <w:wordWrap w:val="0"/>
        <w:spacing w:line="300" w:lineRule="auto"/>
        <w:ind w:firstLine="480"/>
        <w:outlineLvl w:val="9"/>
        <w:rPr>
          <w:rFonts w:hint="eastAsia" w:ascii="宋体" w:hAnsi="宋体" w:cs="宋体"/>
          <w:color w:val="auto"/>
          <w:sz w:val="24"/>
          <w:highlight w:val="none"/>
        </w:rPr>
      </w:pPr>
      <w:r>
        <w:rPr>
          <w:rFonts w:hint="eastAsia" w:ascii="宋体" w:hAnsi="宋体" w:cs="宋体"/>
          <w:color w:val="auto"/>
          <w:sz w:val="24"/>
          <w:highlight w:val="none"/>
        </w:rPr>
        <w:t>有权随时对乙方的服务进行监督检查，有权要求乙方提供相关的技术资料和必要的技术指导。</w:t>
      </w:r>
    </w:p>
    <w:p w14:paraId="5C2CBD4B">
      <w:pPr>
        <w:numPr>
          <w:ilvl w:val="2"/>
          <w:numId w:val="3"/>
        </w:numPr>
        <w:wordWrap w:val="0"/>
        <w:spacing w:line="300" w:lineRule="auto"/>
        <w:ind w:firstLine="480"/>
        <w:outlineLvl w:val="9"/>
        <w:rPr>
          <w:rFonts w:hint="eastAsia" w:ascii="宋体" w:hAnsi="宋体" w:cs="宋体"/>
          <w:color w:val="auto"/>
          <w:sz w:val="24"/>
          <w:highlight w:val="none"/>
        </w:rPr>
      </w:pPr>
      <w:r>
        <w:rPr>
          <w:rFonts w:hint="eastAsia" w:ascii="宋体" w:hAnsi="宋体" w:cs="宋体"/>
          <w:color w:val="auto"/>
          <w:sz w:val="24"/>
          <w:highlight w:val="none"/>
        </w:rPr>
        <w:t>有权要求乙方对其服务过程中存在的问题进行整改。</w:t>
      </w:r>
    </w:p>
    <w:p w14:paraId="467A9C8C">
      <w:pPr>
        <w:numPr>
          <w:ilvl w:val="1"/>
          <w:numId w:val="3"/>
        </w:numPr>
        <w:wordWrap w:val="0"/>
        <w:spacing w:line="300" w:lineRule="auto"/>
        <w:ind w:firstLine="480"/>
        <w:outlineLvl w:val="9"/>
        <w:rPr>
          <w:rFonts w:hint="eastAsia" w:ascii="宋体" w:hAnsi="宋体" w:cs="宋体"/>
          <w:color w:val="auto"/>
          <w:sz w:val="24"/>
          <w:highlight w:val="none"/>
        </w:rPr>
      </w:pPr>
      <w:r>
        <w:rPr>
          <w:rFonts w:hint="eastAsia" w:ascii="宋体" w:hAnsi="宋体" w:cs="宋体"/>
          <w:color w:val="auto"/>
          <w:sz w:val="24"/>
          <w:highlight w:val="none"/>
        </w:rPr>
        <w:t>乙方权利与义务</w:t>
      </w:r>
    </w:p>
    <w:p w14:paraId="2AFB72D9">
      <w:pPr>
        <w:numPr>
          <w:ilvl w:val="2"/>
          <w:numId w:val="3"/>
        </w:numPr>
        <w:wordWrap w:val="0"/>
        <w:spacing w:line="300" w:lineRule="auto"/>
        <w:ind w:firstLine="480"/>
        <w:outlineLvl w:val="9"/>
        <w:rPr>
          <w:rFonts w:hint="eastAsia" w:ascii="宋体" w:hAnsi="宋体" w:cs="宋体"/>
          <w:color w:val="auto"/>
          <w:sz w:val="24"/>
          <w:highlight w:val="none"/>
        </w:rPr>
      </w:pPr>
      <w:r>
        <w:rPr>
          <w:rFonts w:hint="eastAsia" w:ascii="宋体" w:hAnsi="宋体" w:cs="宋体"/>
          <w:color w:val="auto"/>
          <w:sz w:val="24"/>
          <w:highlight w:val="none"/>
        </w:rPr>
        <w:t>乙方向甲方提供相关的技术支持及指导。</w:t>
      </w:r>
    </w:p>
    <w:p w14:paraId="2C4C8A88">
      <w:pPr>
        <w:numPr>
          <w:ilvl w:val="2"/>
          <w:numId w:val="3"/>
        </w:numPr>
        <w:wordWrap w:val="0"/>
        <w:spacing w:line="300" w:lineRule="auto"/>
        <w:ind w:firstLine="480"/>
        <w:outlineLvl w:val="9"/>
        <w:rPr>
          <w:rFonts w:hint="eastAsia" w:ascii="宋体" w:hAnsi="宋体" w:cs="宋体"/>
          <w:color w:val="auto"/>
          <w:sz w:val="24"/>
          <w:highlight w:val="none"/>
        </w:rPr>
      </w:pPr>
      <w:r>
        <w:rPr>
          <w:rFonts w:hint="eastAsia" w:ascii="宋体" w:hAnsi="宋体" w:cs="宋体"/>
          <w:color w:val="auto"/>
          <w:sz w:val="24"/>
          <w:highlight w:val="none"/>
        </w:rPr>
        <w:t>在乙方的服务期间，应遵守甲方的各项管理规定及要求。</w:t>
      </w:r>
    </w:p>
    <w:p w14:paraId="091CDEDB">
      <w:pPr>
        <w:numPr>
          <w:ilvl w:val="2"/>
          <w:numId w:val="3"/>
        </w:numPr>
        <w:wordWrap w:val="0"/>
        <w:spacing w:line="300" w:lineRule="auto"/>
        <w:ind w:firstLine="482"/>
        <w:outlineLvl w:val="9"/>
        <w:rPr>
          <w:rFonts w:hint="eastAsia" w:ascii="宋体" w:hAnsi="宋体" w:cs="宋体"/>
          <w:color w:val="auto"/>
          <w:sz w:val="24"/>
          <w:highlight w:val="none"/>
          <w:u w:val="single"/>
        </w:rPr>
      </w:pPr>
      <w:r>
        <w:rPr>
          <w:rFonts w:hint="eastAsia" w:ascii="宋体" w:hAnsi="宋体" w:cs="宋体"/>
          <w:color w:val="auto"/>
          <w:sz w:val="24"/>
          <w:highlight w:val="none"/>
        </w:rPr>
        <w:t>在乙方的服务期间，应当严格遵守保密义务，未经甲方书面许可不得留存技术资料、图纸等的复制品。本合同终止，不影响该保密条款的效力。</w:t>
      </w:r>
    </w:p>
    <w:p w14:paraId="51C24AA8">
      <w:pPr>
        <w:numPr>
          <w:ilvl w:val="0"/>
          <w:numId w:val="3"/>
        </w:numPr>
        <w:wordWrap w:val="0"/>
        <w:spacing w:line="300" w:lineRule="auto"/>
        <w:ind w:firstLine="482"/>
        <w:outlineLvl w:val="9"/>
        <w:rPr>
          <w:rFonts w:hint="eastAsia" w:ascii="宋体" w:hAnsi="宋体" w:cs="宋体"/>
          <w:color w:val="auto"/>
          <w:sz w:val="24"/>
          <w:highlight w:val="none"/>
        </w:rPr>
      </w:pPr>
      <w:r>
        <w:rPr>
          <w:rFonts w:hint="eastAsia" w:ascii="宋体" w:hAnsi="宋体" w:cs="宋体"/>
          <w:color w:val="auto"/>
          <w:sz w:val="24"/>
          <w:highlight w:val="none"/>
        </w:rPr>
        <w:t>费用标准及计算</w:t>
      </w:r>
    </w:p>
    <w:p w14:paraId="4B3BE2E7">
      <w:pPr>
        <w:numPr>
          <w:ilvl w:val="1"/>
          <w:numId w:val="3"/>
        </w:numPr>
        <w:wordWrap w:val="0"/>
        <w:topLinePunct/>
        <w:spacing w:line="300" w:lineRule="auto"/>
        <w:ind w:firstLine="480"/>
        <w:outlineLvl w:val="9"/>
        <w:rPr>
          <w:rFonts w:hint="eastAsia" w:ascii="宋体" w:hAnsi="宋体" w:cs="宋体"/>
          <w:color w:val="auto"/>
          <w:sz w:val="24"/>
          <w:highlight w:val="none"/>
        </w:rPr>
      </w:pPr>
      <w:r>
        <w:rPr>
          <w:rFonts w:hint="eastAsia" w:ascii="宋体" w:hAnsi="宋体" w:cs="宋体"/>
          <w:color w:val="auto"/>
          <w:sz w:val="24"/>
          <w:highlight w:val="none"/>
        </w:rPr>
        <w:t>本合同总价：人民币</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元，大写：</w:t>
      </w:r>
      <w:r>
        <w:rPr>
          <w:rFonts w:hint="eastAsia" w:ascii="宋体" w:hAnsi="宋体" w:cs="宋体"/>
          <w:color w:val="auto"/>
          <w:sz w:val="24"/>
          <w:highlight w:val="none"/>
          <w:u w:val="single"/>
        </w:rPr>
        <w:t xml:space="preserve">          元整 </w:t>
      </w:r>
      <w:r>
        <w:rPr>
          <w:rFonts w:hint="eastAsia" w:ascii="宋体" w:hAnsi="宋体" w:cs="宋体"/>
          <w:color w:val="auto"/>
          <w:sz w:val="24"/>
          <w:highlight w:val="none"/>
        </w:rPr>
        <w:t>。</w:t>
      </w:r>
    </w:p>
    <w:p w14:paraId="139693DD">
      <w:pPr>
        <w:numPr>
          <w:ilvl w:val="0"/>
          <w:numId w:val="3"/>
        </w:numPr>
        <w:wordWrap w:val="0"/>
        <w:spacing w:line="300" w:lineRule="auto"/>
        <w:ind w:firstLine="482"/>
        <w:outlineLvl w:val="9"/>
        <w:rPr>
          <w:rFonts w:hint="eastAsia" w:ascii="宋体" w:hAnsi="宋体" w:cs="宋体"/>
          <w:color w:val="auto"/>
          <w:sz w:val="24"/>
          <w:highlight w:val="none"/>
        </w:rPr>
      </w:pPr>
      <w:r>
        <w:rPr>
          <w:rFonts w:hint="eastAsia" w:ascii="宋体" w:hAnsi="宋体" w:cs="宋体"/>
          <w:color w:val="auto"/>
          <w:sz w:val="24"/>
          <w:highlight w:val="none"/>
        </w:rPr>
        <w:t>支付方式</w:t>
      </w:r>
    </w:p>
    <w:p w14:paraId="2C662DB7">
      <w:pPr>
        <w:numPr>
          <w:ilvl w:val="1"/>
          <w:numId w:val="3"/>
        </w:numPr>
        <w:wordWrap w:val="0"/>
        <w:spacing w:line="300" w:lineRule="auto"/>
        <w:ind w:firstLine="480"/>
        <w:outlineLvl w:val="9"/>
        <w:rPr>
          <w:rFonts w:hint="eastAsia" w:ascii="宋体" w:hAnsi="宋体" w:cs="宋体"/>
          <w:color w:val="auto"/>
          <w:sz w:val="24"/>
          <w:highlight w:val="none"/>
          <w:u w:val="single"/>
        </w:rPr>
      </w:pPr>
      <w:r>
        <w:rPr>
          <w:rFonts w:hint="eastAsia" w:ascii="宋体" w:hAnsi="宋体" w:cs="宋体"/>
          <w:color w:val="auto"/>
          <w:sz w:val="24"/>
          <w:highlight w:val="none"/>
        </w:rPr>
        <w:t>付款方式：</w:t>
      </w:r>
      <w:r>
        <w:rPr>
          <w:rFonts w:hint="eastAsia" w:ascii="宋体" w:hAnsi="宋体" w:cs="宋体"/>
          <w:color w:val="auto"/>
          <w:sz w:val="24"/>
          <w:highlight w:val="none"/>
          <w:u w:val="single"/>
        </w:rPr>
        <w:t xml:space="preserve">                                  </w:t>
      </w:r>
    </w:p>
    <w:p w14:paraId="0D5E58FB">
      <w:pPr>
        <w:numPr>
          <w:ilvl w:val="1"/>
          <w:numId w:val="3"/>
        </w:numPr>
        <w:wordWrap w:val="0"/>
        <w:spacing w:line="300" w:lineRule="auto"/>
        <w:ind w:firstLine="480"/>
        <w:outlineLvl w:val="9"/>
        <w:rPr>
          <w:rFonts w:hint="eastAsia" w:ascii="宋体" w:hAnsi="宋体" w:cs="宋体"/>
          <w:color w:val="auto"/>
          <w:sz w:val="24"/>
          <w:highlight w:val="none"/>
        </w:rPr>
      </w:pPr>
      <w:r>
        <w:rPr>
          <w:rFonts w:hint="eastAsia" w:ascii="宋体" w:hAnsi="宋体" w:cs="宋体"/>
          <w:color w:val="auto"/>
          <w:sz w:val="24"/>
          <w:highlight w:val="none"/>
        </w:rPr>
        <w:t>甲方每次付款前，乙方应出具合法全额有效增值税专用发票，发票税率为</w:t>
      </w:r>
      <w:r>
        <w:rPr>
          <w:rFonts w:hint="eastAsia" w:ascii="宋体" w:hAnsi="宋体" w:cs="宋体"/>
          <w:color w:val="auto"/>
          <w:sz w:val="24"/>
          <w:highlight w:val="none"/>
          <w:u w:val="single"/>
        </w:rPr>
        <w:t xml:space="preserve"> 6%</w:t>
      </w:r>
      <w:r>
        <w:rPr>
          <w:rFonts w:hint="eastAsia" w:ascii="宋体" w:hAnsi="宋体" w:cs="宋体"/>
          <w:color w:val="auto"/>
          <w:sz w:val="24"/>
          <w:highlight w:val="none"/>
        </w:rPr>
        <w:t xml:space="preserve"> ，甲方在收到有效发票后</w:t>
      </w:r>
      <w:r>
        <w:rPr>
          <w:rFonts w:hint="eastAsia" w:ascii="宋体" w:hAnsi="宋体" w:cs="宋体"/>
          <w:color w:val="auto"/>
          <w:sz w:val="24"/>
          <w:highlight w:val="none"/>
          <w:lang w:val="en-US" w:eastAsia="zh-CN"/>
        </w:rPr>
        <w:t>7</w:t>
      </w:r>
      <w:r>
        <w:rPr>
          <w:rFonts w:hint="eastAsia" w:ascii="宋体" w:hAnsi="宋体" w:cs="宋体"/>
          <w:color w:val="auto"/>
          <w:sz w:val="24"/>
          <w:highlight w:val="none"/>
        </w:rPr>
        <w:t>个</w:t>
      </w:r>
      <w:r>
        <w:rPr>
          <w:rFonts w:hint="eastAsia" w:ascii="宋体" w:hAnsi="宋体" w:cs="宋体"/>
          <w:color w:val="auto"/>
          <w:sz w:val="24"/>
          <w:highlight w:val="none"/>
          <w:lang w:eastAsia="zh-CN"/>
        </w:rPr>
        <w:t>工作</w:t>
      </w:r>
      <w:r>
        <w:rPr>
          <w:rFonts w:hint="eastAsia" w:ascii="宋体" w:hAnsi="宋体" w:cs="宋体"/>
          <w:color w:val="auto"/>
          <w:sz w:val="24"/>
          <w:highlight w:val="none"/>
        </w:rPr>
        <w:t>日内支付价款，乙方延迟出具发票时，支付时间相应顺延。如因乙方原因导致甲方付款延迟的，不视为甲方违约。</w:t>
      </w:r>
    </w:p>
    <w:p w14:paraId="2D219481">
      <w:pPr>
        <w:numPr>
          <w:ilvl w:val="1"/>
          <w:numId w:val="3"/>
        </w:numPr>
        <w:wordWrap w:val="0"/>
        <w:spacing w:line="300" w:lineRule="auto"/>
        <w:ind w:firstLine="482"/>
        <w:outlineLvl w:val="9"/>
        <w:rPr>
          <w:rFonts w:hint="eastAsia" w:ascii="宋体" w:hAnsi="宋体" w:cs="宋体"/>
          <w:color w:val="auto"/>
          <w:sz w:val="24"/>
          <w:highlight w:val="none"/>
        </w:rPr>
      </w:pPr>
      <w:r>
        <w:rPr>
          <w:rFonts w:hint="eastAsia" w:ascii="宋体" w:hAnsi="宋体" w:cs="宋体"/>
          <w:color w:val="auto"/>
          <w:sz w:val="24"/>
          <w:highlight w:val="none"/>
        </w:rPr>
        <w:t>乙方应对转款账户信息的真实性、安全性、准确性负责，否则因此给乙方造成的损失由乙方自行承担。</w:t>
      </w:r>
    </w:p>
    <w:p w14:paraId="5E477073">
      <w:pPr>
        <w:wordWrap w:val="0"/>
        <w:spacing w:line="300" w:lineRule="auto"/>
        <w:ind w:left="480"/>
        <w:outlineLvl w:val="9"/>
        <w:rPr>
          <w:rFonts w:hint="eastAsia" w:ascii="宋体" w:hAnsi="宋体" w:cs="宋体"/>
          <w:color w:val="auto"/>
          <w:sz w:val="24"/>
          <w:highlight w:val="none"/>
        </w:rPr>
      </w:pPr>
      <w:r>
        <w:rPr>
          <w:rFonts w:hint="eastAsia" w:ascii="宋体" w:hAnsi="宋体" w:cs="宋体"/>
          <w:color w:val="auto"/>
          <w:sz w:val="24"/>
          <w:highlight w:val="none"/>
        </w:rPr>
        <w:t>乙方收款账户</w:t>
      </w:r>
    </w:p>
    <w:p w14:paraId="3BE5B92F">
      <w:pPr>
        <w:wordWrap w:val="0"/>
        <w:spacing w:line="300" w:lineRule="auto"/>
        <w:ind w:left="480"/>
        <w:outlineLvl w:val="9"/>
        <w:rPr>
          <w:rFonts w:hint="eastAsia" w:ascii="宋体" w:hAnsi="宋体" w:cs="宋体"/>
          <w:color w:val="auto"/>
          <w:sz w:val="24"/>
          <w:highlight w:val="none"/>
        </w:rPr>
      </w:pPr>
      <w:r>
        <w:rPr>
          <w:rFonts w:hint="eastAsia" w:ascii="宋体" w:hAnsi="宋体" w:cs="宋体"/>
          <w:color w:val="auto"/>
          <w:sz w:val="24"/>
          <w:highlight w:val="none"/>
        </w:rPr>
        <w:t>账户名称：</w:t>
      </w:r>
    </w:p>
    <w:p w14:paraId="4B8F64AC">
      <w:pPr>
        <w:wordWrap w:val="0"/>
        <w:spacing w:line="300" w:lineRule="auto"/>
        <w:ind w:left="480"/>
        <w:outlineLvl w:val="9"/>
        <w:rPr>
          <w:rFonts w:hint="eastAsia" w:ascii="宋体" w:hAnsi="宋体" w:cs="宋体"/>
          <w:color w:val="auto"/>
          <w:sz w:val="24"/>
          <w:highlight w:val="none"/>
        </w:rPr>
      </w:pPr>
      <w:r>
        <w:rPr>
          <w:rFonts w:hint="eastAsia" w:ascii="宋体" w:hAnsi="宋体" w:cs="宋体"/>
          <w:color w:val="auto"/>
          <w:sz w:val="24"/>
          <w:highlight w:val="none"/>
        </w:rPr>
        <w:t>账户号：</w:t>
      </w:r>
    </w:p>
    <w:p w14:paraId="34BD5D99">
      <w:pPr>
        <w:wordWrap w:val="0"/>
        <w:spacing w:line="300" w:lineRule="auto"/>
        <w:ind w:firstLine="480"/>
        <w:outlineLvl w:val="9"/>
        <w:rPr>
          <w:rFonts w:hint="eastAsia" w:ascii="宋体" w:hAnsi="宋体" w:cs="宋体"/>
          <w:color w:val="auto"/>
          <w:sz w:val="24"/>
          <w:highlight w:val="none"/>
        </w:rPr>
      </w:pPr>
      <w:r>
        <w:rPr>
          <w:rFonts w:hint="eastAsia" w:ascii="宋体" w:hAnsi="宋体" w:cs="宋体"/>
          <w:color w:val="auto"/>
          <w:sz w:val="24"/>
          <w:highlight w:val="none"/>
        </w:rPr>
        <w:t>开户银行：</w:t>
      </w:r>
    </w:p>
    <w:p w14:paraId="50E43715">
      <w:pPr>
        <w:wordWrap w:val="0"/>
        <w:spacing w:line="300" w:lineRule="auto"/>
        <w:ind w:firstLine="480"/>
        <w:outlineLvl w:val="9"/>
        <w:rPr>
          <w:rFonts w:hint="eastAsia" w:ascii="宋体" w:hAnsi="宋体" w:cs="宋体"/>
          <w:color w:val="auto"/>
          <w:sz w:val="24"/>
          <w:highlight w:val="none"/>
        </w:rPr>
      </w:pPr>
      <w:r>
        <w:rPr>
          <w:rFonts w:hint="eastAsia" w:ascii="宋体" w:hAnsi="宋体" w:cs="宋体"/>
          <w:color w:val="auto"/>
          <w:sz w:val="24"/>
          <w:highlight w:val="none"/>
        </w:rPr>
        <w:t>甲方开票信息：</w:t>
      </w:r>
    </w:p>
    <w:p w14:paraId="5395B482">
      <w:pPr>
        <w:wordWrap w:val="0"/>
        <w:spacing w:line="300" w:lineRule="auto"/>
        <w:ind w:firstLine="480"/>
        <w:outlineLvl w:val="9"/>
        <w:rPr>
          <w:rFonts w:hint="eastAsia" w:ascii="宋体" w:hAnsi="宋体" w:cs="宋体"/>
          <w:color w:val="auto"/>
          <w:sz w:val="24"/>
          <w:highlight w:val="none"/>
        </w:rPr>
      </w:pPr>
      <w:r>
        <w:rPr>
          <w:rFonts w:hint="eastAsia" w:ascii="宋体" w:hAnsi="宋体" w:cs="宋体"/>
          <w:color w:val="auto"/>
          <w:sz w:val="24"/>
          <w:highlight w:val="none"/>
        </w:rPr>
        <w:t>名称：</w:t>
      </w:r>
      <w:r>
        <w:rPr>
          <w:rFonts w:hint="eastAsia" w:ascii="宋体" w:hAnsi="宋体" w:cs="宋体"/>
          <w:color w:val="auto"/>
          <w:sz w:val="24"/>
          <w:highlight w:val="none"/>
          <w:u w:val="single"/>
        </w:rPr>
        <w:t>深圳市云创得力数据有限公司</w:t>
      </w:r>
    </w:p>
    <w:p w14:paraId="41FDD64C">
      <w:pPr>
        <w:spacing w:line="300" w:lineRule="auto"/>
        <w:ind w:firstLine="480"/>
        <w:outlineLvl w:val="9"/>
        <w:rPr>
          <w:rFonts w:hint="eastAsia" w:ascii="宋体" w:hAnsi="宋体" w:cs="宋体"/>
          <w:color w:val="auto"/>
          <w:sz w:val="24"/>
          <w:highlight w:val="none"/>
        </w:rPr>
      </w:pPr>
      <w:r>
        <w:rPr>
          <w:rFonts w:hint="eastAsia" w:ascii="宋体" w:hAnsi="宋体" w:cs="宋体"/>
          <w:color w:val="auto"/>
          <w:sz w:val="24"/>
          <w:highlight w:val="none"/>
        </w:rPr>
        <w:t>税号：</w:t>
      </w:r>
      <w:r>
        <w:rPr>
          <w:rFonts w:hint="eastAsia" w:ascii="宋体" w:hAnsi="宋体" w:cs="宋体"/>
          <w:color w:val="auto"/>
          <w:sz w:val="24"/>
          <w:highlight w:val="none"/>
          <w:u w:val="single"/>
        </w:rPr>
        <w:t>91440300093838135H</w:t>
      </w:r>
    </w:p>
    <w:p w14:paraId="3B7D8EEE">
      <w:pPr>
        <w:wordWrap w:val="0"/>
        <w:spacing w:line="300" w:lineRule="auto"/>
        <w:ind w:firstLine="480" w:firstLineChars="200"/>
        <w:outlineLvl w:val="9"/>
        <w:rPr>
          <w:rFonts w:hint="eastAsia" w:ascii="宋体" w:hAnsi="宋体" w:cs="宋体"/>
          <w:color w:val="auto"/>
          <w:spacing w:val="-6"/>
          <w:sz w:val="24"/>
          <w:highlight w:val="none"/>
        </w:rPr>
      </w:pPr>
      <w:r>
        <w:rPr>
          <w:rFonts w:hint="eastAsia" w:ascii="宋体" w:hAnsi="宋体" w:cs="宋体"/>
          <w:color w:val="auto"/>
          <w:sz w:val="24"/>
          <w:highlight w:val="none"/>
        </w:rPr>
        <w:t>地址：</w:t>
      </w:r>
      <w:r>
        <w:rPr>
          <w:rFonts w:hint="eastAsia" w:ascii="宋体" w:hAnsi="宋体" w:cs="宋体"/>
          <w:color w:val="auto"/>
          <w:spacing w:val="-6"/>
          <w:sz w:val="24"/>
          <w:highlight w:val="none"/>
          <w:u w:val="single"/>
          <w:lang w:val="en-US" w:eastAsia="zh-CN"/>
        </w:rPr>
        <w:t>深圳市南山区粤海街道科技园社区科发路3号中电长城大厦B-1103</w:t>
      </w:r>
    </w:p>
    <w:p w14:paraId="06614EAF">
      <w:pPr>
        <w:wordWrap w:val="0"/>
        <w:spacing w:line="300" w:lineRule="auto"/>
        <w:ind w:firstLine="480"/>
        <w:outlineLvl w:val="9"/>
        <w:rPr>
          <w:rFonts w:hint="eastAsia" w:ascii="宋体" w:hAnsi="宋体" w:cs="宋体"/>
          <w:color w:val="auto"/>
          <w:sz w:val="24"/>
          <w:highlight w:val="none"/>
        </w:rPr>
      </w:pPr>
      <w:r>
        <w:rPr>
          <w:rFonts w:hint="eastAsia" w:ascii="宋体" w:hAnsi="宋体" w:cs="宋体"/>
          <w:color w:val="auto"/>
          <w:sz w:val="24"/>
          <w:highlight w:val="none"/>
        </w:rPr>
        <w:t>电话：</w:t>
      </w:r>
      <w:r>
        <w:rPr>
          <w:rFonts w:hint="eastAsia" w:ascii="宋体" w:hAnsi="宋体" w:cs="宋体"/>
          <w:color w:val="auto"/>
          <w:sz w:val="24"/>
          <w:highlight w:val="none"/>
          <w:u w:val="single"/>
        </w:rPr>
        <w:t>18928903200</w:t>
      </w:r>
    </w:p>
    <w:p w14:paraId="30F910EA">
      <w:pPr>
        <w:wordWrap w:val="0"/>
        <w:spacing w:line="300" w:lineRule="auto"/>
        <w:ind w:firstLine="480"/>
        <w:outlineLvl w:val="9"/>
        <w:rPr>
          <w:rFonts w:hint="eastAsia" w:ascii="宋体" w:hAnsi="宋体" w:cs="宋体"/>
          <w:color w:val="auto"/>
          <w:sz w:val="24"/>
          <w:highlight w:val="none"/>
          <w:u w:val="single"/>
        </w:rPr>
      </w:pPr>
      <w:r>
        <w:rPr>
          <w:rFonts w:hint="eastAsia" w:ascii="宋体" w:hAnsi="宋体" w:cs="宋体"/>
          <w:color w:val="auto"/>
          <w:sz w:val="24"/>
          <w:highlight w:val="none"/>
        </w:rPr>
        <w:t>开户银行：</w:t>
      </w:r>
      <w:r>
        <w:rPr>
          <w:rFonts w:hint="eastAsia" w:ascii="宋体" w:hAnsi="宋体" w:cs="宋体"/>
          <w:color w:val="auto"/>
          <w:sz w:val="24"/>
          <w:highlight w:val="none"/>
          <w:u w:val="single"/>
        </w:rPr>
        <w:t>中国建设银行深圳蛇口支行</w:t>
      </w:r>
    </w:p>
    <w:p w14:paraId="21FDE136">
      <w:pPr>
        <w:spacing w:line="300" w:lineRule="auto"/>
        <w:ind w:firstLine="480"/>
        <w:outlineLvl w:val="9"/>
        <w:rPr>
          <w:rFonts w:hint="eastAsia" w:ascii="宋体" w:hAnsi="宋体" w:cs="宋体"/>
          <w:color w:val="auto"/>
          <w:sz w:val="24"/>
          <w:highlight w:val="none"/>
        </w:rPr>
      </w:pPr>
      <w:r>
        <w:rPr>
          <w:rFonts w:hint="eastAsia" w:ascii="宋体" w:hAnsi="宋体" w:cs="宋体"/>
          <w:color w:val="auto"/>
          <w:sz w:val="24"/>
          <w:highlight w:val="none"/>
        </w:rPr>
        <w:t>银行账号：</w:t>
      </w:r>
      <w:r>
        <w:rPr>
          <w:rFonts w:hint="eastAsia" w:ascii="宋体" w:hAnsi="宋体" w:cs="宋体"/>
          <w:color w:val="auto"/>
          <w:sz w:val="24"/>
          <w:highlight w:val="none"/>
          <w:u w:val="single"/>
        </w:rPr>
        <w:t>4420 1502 8000 5255 2829</w:t>
      </w:r>
    </w:p>
    <w:p w14:paraId="738B0A81">
      <w:pPr>
        <w:numPr>
          <w:ilvl w:val="0"/>
          <w:numId w:val="3"/>
        </w:numPr>
        <w:wordWrap w:val="0"/>
        <w:spacing w:line="300" w:lineRule="auto"/>
        <w:ind w:firstLine="482"/>
        <w:outlineLvl w:val="9"/>
        <w:rPr>
          <w:rFonts w:hint="eastAsia" w:ascii="宋体" w:hAnsi="宋体" w:cs="宋体"/>
          <w:color w:val="auto"/>
          <w:sz w:val="24"/>
          <w:highlight w:val="none"/>
        </w:rPr>
      </w:pPr>
      <w:r>
        <w:rPr>
          <w:rFonts w:hint="eastAsia" w:ascii="宋体" w:hAnsi="宋体" w:cs="宋体"/>
          <w:color w:val="auto"/>
          <w:sz w:val="24"/>
          <w:highlight w:val="none"/>
        </w:rPr>
        <w:t>违约责任</w:t>
      </w:r>
    </w:p>
    <w:p w14:paraId="125BF3AA">
      <w:pPr>
        <w:numPr>
          <w:ilvl w:val="1"/>
          <w:numId w:val="3"/>
        </w:numPr>
        <w:wordWrap w:val="0"/>
        <w:spacing w:line="300" w:lineRule="auto"/>
        <w:ind w:firstLine="480"/>
        <w:outlineLvl w:val="9"/>
        <w:rPr>
          <w:rFonts w:hint="eastAsia" w:ascii="宋体" w:hAnsi="宋体" w:cs="宋体"/>
          <w:color w:val="auto"/>
          <w:sz w:val="24"/>
          <w:highlight w:val="none"/>
        </w:rPr>
      </w:pPr>
      <w:r>
        <w:rPr>
          <w:rFonts w:hint="eastAsia" w:ascii="宋体" w:hAnsi="宋体" w:cs="宋体"/>
          <w:color w:val="auto"/>
          <w:sz w:val="24"/>
          <w:highlight w:val="none"/>
        </w:rPr>
        <w:t>合同任一方未履行合同义务或履行义务不符合约定的，均构成违约行为，应承担继续履行、采取补救措施或者赔偿损失等违约责任。双方违约的，应各自承担相应责任。</w:t>
      </w:r>
    </w:p>
    <w:p w14:paraId="5CE702A2">
      <w:pPr>
        <w:numPr>
          <w:ilvl w:val="1"/>
          <w:numId w:val="3"/>
        </w:numPr>
        <w:wordWrap w:val="0"/>
        <w:spacing w:line="300" w:lineRule="auto"/>
        <w:ind w:firstLine="480"/>
        <w:outlineLvl w:val="9"/>
        <w:rPr>
          <w:rFonts w:hint="eastAsia" w:ascii="宋体" w:hAnsi="宋体" w:cs="宋体"/>
          <w:color w:val="auto"/>
          <w:sz w:val="24"/>
          <w:highlight w:val="none"/>
        </w:rPr>
      </w:pPr>
      <w:r>
        <w:rPr>
          <w:rFonts w:hint="eastAsia" w:ascii="宋体" w:hAnsi="宋体" w:cs="宋体"/>
          <w:color w:val="auto"/>
          <w:sz w:val="24"/>
          <w:highlight w:val="none"/>
        </w:rPr>
        <w:t>甲方违约责任</w:t>
      </w:r>
    </w:p>
    <w:p w14:paraId="3FB6BE58">
      <w:pPr>
        <w:numPr>
          <w:ilvl w:val="2"/>
          <w:numId w:val="3"/>
        </w:numPr>
        <w:wordWrap w:val="0"/>
        <w:spacing w:line="300" w:lineRule="auto"/>
        <w:ind w:firstLine="480"/>
        <w:outlineLvl w:val="9"/>
        <w:rPr>
          <w:rFonts w:hint="eastAsia" w:ascii="宋体" w:hAnsi="宋体" w:cs="宋体"/>
          <w:color w:val="auto"/>
          <w:sz w:val="24"/>
          <w:highlight w:val="none"/>
        </w:rPr>
      </w:pPr>
      <w:r>
        <w:rPr>
          <w:rFonts w:hint="eastAsia" w:ascii="宋体" w:hAnsi="宋体" w:cs="宋体"/>
          <w:color w:val="auto"/>
          <w:sz w:val="24"/>
          <w:highlight w:val="none"/>
        </w:rPr>
        <w:t>甲方迟延（未按约定）支付费用（报酬）的，每迟延（逾期）一日，应承担逾期未支付价款</w:t>
      </w:r>
      <w:r>
        <w:rPr>
          <w:rFonts w:hint="eastAsia" w:ascii="宋体" w:hAnsi="宋体" w:cs="宋体"/>
          <w:color w:val="auto"/>
          <w:sz w:val="24"/>
          <w:highlight w:val="none"/>
          <w:u w:val="single"/>
        </w:rPr>
        <w:t xml:space="preserve"> 0.01</w:t>
      </w:r>
      <w:r>
        <w:rPr>
          <w:rFonts w:hint="eastAsia" w:ascii="宋体" w:hAnsi="宋体" w:cs="宋体"/>
          <w:color w:val="auto"/>
          <w:sz w:val="24"/>
          <w:highlight w:val="none"/>
        </w:rPr>
        <w:t>%的违约金，违约金最高不超过合同价款的5%。</w:t>
      </w:r>
    </w:p>
    <w:p w14:paraId="1B7F3AC9">
      <w:pPr>
        <w:numPr>
          <w:ilvl w:val="1"/>
          <w:numId w:val="3"/>
        </w:numPr>
        <w:wordWrap w:val="0"/>
        <w:spacing w:line="300" w:lineRule="auto"/>
        <w:ind w:firstLine="480"/>
        <w:outlineLvl w:val="9"/>
        <w:rPr>
          <w:rFonts w:hint="eastAsia" w:ascii="宋体" w:hAnsi="宋体" w:cs="宋体"/>
          <w:color w:val="auto"/>
          <w:sz w:val="24"/>
          <w:highlight w:val="none"/>
        </w:rPr>
      </w:pPr>
      <w:r>
        <w:rPr>
          <w:rFonts w:hint="eastAsia" w:ascii="宋体" w:hAnsi="宋体" w:cs="宋体"/>
          <w:color w:val="auto"/>
          <w:sz w:val="24"/>
          <w:highlight w:val="none"/>
        </w:rPr>
        <w:t>乙方违约责任</w:t>
      </w:r>
    </w:p>
    <w:p w14:paraId="0FAAFA30">
      <w:pPr>
        <w:numPr>
          <w:ilvl w:val="2"/>
          <w:numId w:val="3"/>
        </w:numPr>
        <w:wordWrap w:val="0"/>
        <w:spacing w:line="300" w:lineRule="auto"/>
        <w:ind w:firstLine="480"/>
        <w:outlineLvl w:val="9"/>
        <w:rPr>
          <w:rFonts w:hint="eastAsia" w:ascii="宋体" w:hAnsi="宋体" w:cs="宋体"/>
          <w:color w:val="auto"/>
          <w:sz w:val="24"/>
          <w:highlight w:val="none"/>
        </w:rPr>
      </w:pPr>
      <w:r>
        <w:rPr>
          <w:rFonts w:hint="eastAsia" w:ascii="宋体" w:hAnsi="宋体" w:cs="宋体"/>
          <w:b/>
          <w:bCs/>
          <w:color w:val="auto"/>
          <w:sz w:val="24"/>
          <w:highlight w:val="none"/>
        </w:rPr>
        <w:t>乙方逾期</w:t>
      </w:r>
      <w:r>
        <w:rPr>
          <w:rFonts w:hint="eastAsia" w:ascii="宋体" w:hAnsi="宋体" w:cs="宋体"/>
          <w:b/>
          <w:bCs/>
          <w:color w:val="auto"/>
          <w:sz w:val="24"/>
          <w:highlight w:val="none"/>
          <w:u w:val="single"/>
        </w:rPr>
        <w:t xml:space="preserve"> 提供服务 </w:t>
      </w:r>
      <w:r>
        <w:rPr>
          <w:rFonts w:hint="eastAsia" w:ascii="宋体" w:hAnsi="宋体" w:cs="宋体"/>
          <w:b/>
          <w:bCs/>
          <w:color w:val="auto"/>
          <w:sz w:val="24"/>
          <w:highlight w:val="none"/>
        </w:rPr>
        <w:t>的，每迟延（逾期）一日，应承担合同价款</w:t>
      </w:r>
      <w:r>
        <w:rPr>
          <w:rFonts w:hint="eastAsia" w:ascii="宋体" w:hAnsi="宋体" w:cs="宋体"/>
          <w:b/>
          <w:bCs/>
          <w:color w:val="auto"/>
          <w:sz w:val="24"/>
          <w:highlight w:val="none"/>
          <w:u w:val="single"/>
        </w:rPr>
        <w:t xml:space="preserve"> 0.01</w:t>
      </w:r>
      <w:r>
        <w:rPr>
          <w:rFonts w:hint="eastAsia" w:ascii="宋体" w:hAnsi="宋体" w:cs="宋体"/>
          <w:b/>
          <w:bCs/>
          <w:color w:val="auto"/>
          <w:sz w:val="24"/>
          <w:highlight w:val="none"/>
        </w:rPr>
        <w:t>%的违约金</w:t>
      </w:r>
      <w:r>
        <w:rPr>
          <w:rFonts w:hint="eastAsia" w:ascii="宋体" w:hAnsi="宋体" w:cs="宋体"/>
          <w:color w:val="auto"/>
          <w:sz w:val="24"/>
          <w:highlight w:val="none"/>
        </w:rPr>
        <w:t>。</w:t>
      </w:r>
    </w:p>
    <w:p w14:paraId="2A6A61C1">
      <w:pPr>
        <w:numPr>
          <w:ilvl w:val="2"/>
          <w:numId w:val="3"/>
        </w:numPr>
        <w:wordWrap w:val="0"/>
        <w:spacing w:line="300" w:lineRule="auto"/>
        <w:ind w:firstLine="480"/>
        <w:outlineLvl w:val="9"/>
        <w:rPr>
          <w:rFonts w:hint="eastAsia" w:ascii="宋体" w:hAnsi="宋体" w:cs="宋体"/>
          <w:color w:val="auto"/>
          <w:sz w:val="24"/>
          <w:highlight w:val="none"/>
        </w:rPr>
      </w:pPr>
      <w:r>
        <w:rPr>
          <w:rFonts w:hint="eastAsia" w:ascii="宋体" w:hAnsi="宋体" w:cs="宋体"/>
          <w:color w:val="auto"/>
          <w:sz w:val="24"/>
          <w:highlight w:val="none"/>
        </w:rPr>
        <w:t>乙方未按合同约定</w:t>
      </w:r>
      <w:r>
        <w:rPr>
          <w:rFonts w:hint="eastAsia" w:ascii="宋体" w:hAnsi="宋体" w:cs="宋体"/>
          <w:color w:val="auto"/>
          <w:sz w:val="24"/>
          <w:highlight w:val="none"/>
          <w:u w:val="single"/>
        </w:rPr>
        <w:t xml:space="preserve">  提供服务  </w:t>
      </w:r>
      <w:r>
        <w:rPr>
          <w:rFonts w:hint="eastAsia" w:ascii="宋体" w:hAnsi="宋体" w:cs="宋体"/>
          <w:color w:val="auto"/>
          <w:sz w:val="24"/>
          <w:highlight w:val="none"/>
        </w:rPr>
        <w:t>的，应承担合同价款</w:t>
      </w:r>
      <w:r>
        <w:rPr>
          <w:rFonts w:hint="eastAsia" w:ascii="宋体" w:hAnsi="宋体" w:cs="宋体"/>
          <w:color w:val="auto"/>
          <w:sz w:val="24"/>
          <w:highlight w:val="none"/>
          <w:u w:val="single"/>
        </w:rPr>
        <w:t xml:space="preserve">  5  </w:t>
      </w:r>
      <w:r>
        <w:rPr>
          <w:rFonts w:hint="eastAsia" w:ascii="宋体" w:hAnsi="宋体" w:cs="宋体"/>
          <w:color w:val="auto"/>
          <w:sz w:val="24"/>
          <w:highlight w:val="none"/>
        </w:rPr>
        <w:t>%的违约金。</w:t>
      </w:r>
    </w:p>
    <w:p w14:paraId="4134C053">
      <w:pPr>
        <w:numPr>
          <w:ilvl w:val="2"/>
          <w:numId w:val="3"/>
        </w:numPr>
        <w:wordWrap w:val="0"/>
        <w:spacing w:line="300" w:lineRule="auto"/>
        <w:ind w:firstLine="480"/>
        <w:outlineLvl w:val="9"/>
        <w:rPr>
          <w:rFonts w:hint="eastAsia" w:ascii="宋体" w:hAnsi="宋体" w:cs="宋体"/>
          <w:color w:val="auto"/>
          <w:sz w:val="24"/>
          <w:highlight w:val="none"/>
        </w:rPr>
      </w:pPr>
      <w:r>
        <w:rPr>
          <w:rFonts w:hint="eastAsia" w:ascii="宋体" w:hAnsi="宋体" w:cs="宋体"/>
          <w:b/>
          <w:bCs/>
          <w:color w:val="auto"/>
          <w:sz w:val="24"/>
          <w:highlight w:val="none"/>
        </w:rPr>
        <w:t>乙方擅自变更、转让合同的，应承担合同价款5%的违约金，且甲方有权单方解除合同；乙方擅自提前终止合同的，应承担合同价款5%的违约金；造成甲方损失的，乙方应承担赔偿责任</w:t>
      </w:r>
      <w:r>
        <w:rPr>
          <w:rFonts w:hint="eastAsia" w:ascii="宋体" w:hAnsi="宋体" w:cs="宋体"/>
          <w:color w:val="auto"/>
          <w:sz w:val="24"/>
          <w:highlight w:val="none"/>
        </w:rPr>
        <w:t>。</w:t>
      </w:r>
    </w:p>
    <w:p w14:paraId="421F9D84">
      <w:pPr>
        <w:numPr>
          <w:ilvl w:val="2"/>
          <w:numId w:val="3"/>
        </w:numPr>
        <w:wordWrap w:val="0"/>
        <w:spacing w:line="300" w:lineRule="auto"/>
        <w:ind w:firstLine="482"/>
        <w:outlineLvl w:val="9"/>
        <w:rPr>
          <w:rFonts w:hint="eastAsia" w:ascii="宋体" w:hAnsi="宋体" w:cs="宋体"/>
          <w:color w:val="auto"/>
          <w:sz w:val="24"/>
          <w:highlight w:val="none"/>
        </w:rPr>
      </w:pPr>
      <w:r>
        <w:rPr>
          <w:rFonts w:hint="eastAsia" w:ascii="宋体" w:hAnsi="宋体" w:cs="宋体"/>
          <w:color w:val="auto"/>
          <w:sz w:val="24"/>
          <w:highlight w:val="none"/>
        </w:rPr>
        <w:t>乙方逾期提供服务、未按照本合同约定提供服务或提供服务未满足甲方的验收要求，经甲方催告后拒不改正的，甲方有权聘请其他第三方提供替代性服务，由此产生的费用由乙方另行承担，给甲方造成损失的，乙方还应赔偿。甲方可从未支付乙方的合同款中优先扣除上述费用。</w:t>
      </w:r>
    </w:p>
    <w:p w14:paraId="4C3ED81B">
      <w:pPr>
        <w:numPr>
          <w:ilvl w:val="2"/>
          <w:numId w:val="3"/>
        </w:numPr>
        <w:wordWrap w:val="0"/>
        <w:spacing w:line="300" w:lineRule="auto"/>
        <w:ind w:firstLine="482"/>
        <w:outlineLvl w:val="9"/>
        <w:rPr>
          <w:rFonts w:hint="eastAsia" w:ascii="宋体" w:hAnsi="宋体" w:cs="宋体"/>
          <w:color w:val="auto"/>
          <w:sz w:val="24"/>
          <w:highlight w:val="none"/>
        </w:rPr>
      </w:pPr>
      <w:r>
        <w:rPr>
          <w:rFonts w:hint="eastAsia" w:ascii="宋体" w:hAnsi="宋体" w:cs="宋体"/>
          <w:color w:val="auto"/>
          <w:sz w:val="24"/>
          <w:highlight w:val="none"/>
        </w:rPr>
        <w:t>乙方需保证所提供的技术成果不存在侵犯他人知识产权的情形，如因乙方原因导致甲方被第三人追诉侵权的，由乙方承担责任，如因法律规定需由甲方承担责任的，甲方可就其承担责任的范围向乙方追偿，因此给甲方造成损失的乙方还应承担赔偿责任。</w:t>
      </w:r>
    </w:p>
    <w:p w14:paraId="53776D1D">
      <w:pPr>
        <w:numPr>
          <w:ilvl w:val="2"/>
          <w:numId w:val="3"/>
        </w:numPr>
        <w:wordWrap w:val="0"/>
        <w:spacing w:line="300" w:lineRule="auto"/>
        <w:ind w:firstLine="482"/>
        <w:outlineLvl w:val="9"/>
        <w:rPr>
          <w:rFonts w:hint="eastAsia" w:ascii="宋体" w:hAnsi="宋体" w:cs="宋体"/>
          <w:color w:val="auto"/>
          <w:sz w:val="24"/>
          <w:highlight w:val="none"/>
        </w:rPr>
      </w:pPr>
      <w:r>
        <w:rPr>
          <w:rFonts w:hint="eastAsia" w:ascii="宋体" w:hAnsi="宋体" w:cs="宋体"/>
          <w:b/>
          <w:bCs/>
          <w:color w:val="auto"/>
          <w:sz w:val="24"/>
          <w:highlight w:val="none"/>
        </w:rPr>
        <w:t>乙方不履行或不完全履行本协议约定义务，应向甲方赔偿因违约所造成的全部损失，并应承担甲方为实现债权而产生的全部费用，包括但不限于催收费用、鉴定费、诉讼费、保全费、评估费、公告费、执行费、律师费、公证费、差旅费及其他费用。</w:t>
      </w:r>
    </w:p>
    <w:p w14:paraId="7D76F69B">
      <w:pPr>
        <w:numPr>
          <w:ilvl w:val="0"/>
          <w:numId w:val="3"/>
        </w:numPr>
        <w:wordWrap w:val="0"/>
        <w:spacing w:line="300" w:lineRule="auto"/>
        <w:ind w:firstLine="482"/>
        <w:outlineLvl w:val="9"/>
        <w:rPr>
          <w:rFonts w:hint="eastAsia" w:ascii="宋体" w:hAnsi="宋体" w:cs="宋体"/>
          <w:color w:val="auto"/>
          <w:sz w:val="24"/>
          <w:highlight w:val="none"/>
        </w:rPr>
      </w:pPr>
      <w:r>
        <w:rPr>
          <w:rFonts w:hint="eastAsia" w:ascii="宋体" w:hAnsi="宋体" w:cs="宋体"/>
          <w:color w:val="auto"/>
          <w:sz w:val="24"/>
          <w:highlight w:val="none"/>
        </w:rPr>
        <w:t>廉洁条款</w:t>
      </w:r>
    </w:p>
    <w:p w14:paraId="094359CC">
      <w:pPr>
        <w:numPr>
          <w:ilvl w:val="1"/>
          <w:numId w:val="3"/>
        </w:numPr>
        <w:wordWrap w:val="0"/>
        <w:spacing w:line="300" w:lineRule="auto"/>
        <w:ind w:firstLine="480"/>
        <w:outlineLvl w:val="9"/>
        <w:rPr>
          <w:rFonts w:hint="eastAsia" w:ascii="宋体" w:hAnsi="宋体" w:cs="宋体"/>
          <w:color w:val="auto"/>
          <w:sz w:val="24"/>
          <w:highlight w:val="none"/>
        </w:rPr>
      </w:pPr>
      <w:r>
        <w:rPr>
          <w:rFonts w:hint="eastAsia" w:ascii="宋体" w:hAnsi="宋体" w:cs="宋体"/>
          <w:color w:val="auto"/>
          <w:sz w:val="24"/>
          <w:highlight w:val="none"/>
        </w:rPr>
        <w:t>甲乙双方应遵守国家法律法规和廉洁自律规定，遵守相关行业管理的有关规定，不得损害双方利益。双方应对其人员进行廉洁从业教育，使其诚信守法、行为规范。</w:t>
      </w:r>
    </w:p>
    <w:p w14:paraId="6F0EB751">
      <w:pPr>
        <w:numPr>
          <w:ilvl w:val="1"/>
          <w:numId w:val="3"/>
        </w:numPr>
        <w:wordWrap w:val="0"/>
        <w:spacing w:line="300" w:lineRule="auto"/>
        <w:ind w:firstLine="480"/>
        <w:outlineLvl w:val="9"/>
        <w:rPr>
          <w:rFonts w:hint="eastAsia" w:ascii="宋体" w:hAnsi="宋体" w:cs="宋体"/>
          <w:color w:val="auto"/>
          <w:sz w:val="24"/>
          <w:highlight w:val="none"/>
        </w:rPr>
      </w:pPr>
      <w:r>
        <w:rPr>
          <w:rFonts w:hint="eastAsia" w:ascii="宋体" w:hAnsi="宋体" w:cs="宋体"/>
          <w:color w:val="auto"/>
          <w:sz w:val="24"/>
          <w:highlight w:val="none"/>
        </w:rPr>
        <w:t>乙方及其人员不得以任何企业或个人名义，向甲方人员或亲属提供旅游、宴请、娱乐活动、赠送礼金礼券、有价证券、礼品等任何形式的回扣或变相利益输送。如乙方及其人员违反本约定，经查属实，甲方有权终止合同，取消乙方参与甲方招标采购或供应商资格，并要求乙方承担甲方因此造成的损失。若甲方人员存在谋取上述任何形式的不正当利益，乙方及其人员有义务向甲方反映并提供相应证据，甲方查实后将及时公正处理，并对乙方及其人员举报行为严格保密。</w:t>
      </w:r>
    </w:p>
    <w:p w14:paraId="796E5502">
      <w:pPr>
        <w:numPr>
          <w:ilvl w:val="0"/>
          <w:numId w:val="3"/>
        </w:numPr>
        <w:wordWrap w:val="0"/>
        <w:spacing w:line="300" w:lineRule="auto"/>
        <w:ind w:firstLine="482"/>
        <w:outlineLvl w:val="9"/>
        <w:rPr>
          <w:rFonts w:hint="eastAsia" w:ascii="宋体" w:hAnsi="宋体" w:cs="宋体"/>
          <w:color w:val="auto"/>
          <w:sz w:val="24"/>
          <w:highlight w:val="none"/>
        </w:rPr>
      </w:pPr>
      <w:r>
        <w:rPr>
          <w:rFonts w:hint="eastAsia" w:ascii="宋体" w:hAnsi="宋体" w:cs="宋体"/>
          <w:color w:val="auto"/>
          <w:sz w:val="24"/>
          <w:highlight w:val="none"/>
        </w:rPr>
        <w:t>变更与终止</w:t>
      </w:r>
    </w:p>
    <w:p w14:paraId="22C2E3A3">
      <w:pPr>
        <w:numPr>
          <w:ilvl w:val="1"/>
          <w:numId w:val="3"/>
        </w:numPr>
        <w:wordWrap w:val="0"/>
        <w:spacing w:line="300" w:lineRule="auto"/>
        <w:ind w:firstLine="480"/>
        <w:outlineLvl w:val="9"/>
        <w:rPr>
          <w:rFonts w:hint="eastAsia" w:ascii="宋体" w:hAnsi="宋体" w:cs="宋体"/>
          <w:color w:val="auto"/>
          <w:sz w:val="24"/>
          <w:highlight w:val="none"/>
        </w:rPr>
      </w:pPr>
      <w:r>
        <w:rPr>
          <w:rFonts w:hint="eastAsia" w:ascii="宋体" w:hAnsi="宋体" w:cs="宋体"/>
          <w:color w:val="auto"/>
          <w:sz w:val="24"/>
          <w:highlight w:val="none"/>
        </w:rPr>
        <w:t>本合同经双方协商一致，可以变更或解除。合同变更或解除应采用书面形式。除非本合同另有约定，任一方均不得擅自变更或提前终止合同。</w:t>
      </w:r>
    </w:p>
    <w:p w14:paraId="1F100985">
      <w:pPr>
        <w:numPr>
          <w:ilvl w:val="1"/>
          <w:numId w:val="3"/>
        </w:numPr>
        <w:wordWrap w:val="0"/>
        <w:spacing w:line="300" w:lineRule="auto"/>
        <w:ind w:firstLine="480"/>
        <w:outlineLvl w:val="9"/>
        <w:rPr>
          <w:rFonts w:hint="eastAsia" w:ascii="宋体" w:hAnsi="宋体" w:cs="宋体"/>
          <w:color w:val="auto"/>
          <w:sz w:val="24"/>
          <w:highlight w:val="none"/>
        </w:rPr>
      </w:pPr>
      <w:r>
        <w:rPr>
          <w:rFonts w:hint="eastAsia" w:ascii="宋体" w:hAnsi="宋体" w:cs="宋体"/>
          <w:color w:val="auto"/>
          <w:sz w:val="24"/>
          <w:highlight w:val="none"/>
        </w:rPr>
        <w:t>乙方履行约定不符合本合同约定，经甲方催告后乙方拒不改正的，甲方有权单方解除合同，自解除通知到达乙方之日起，本合同解除。</w:t>
      </w:r>
    </w:p>
    <w:p w14:paraId="5211F97A">
      <w:pPr>
        <w:numPr>
          <w:ilvl w:val="1"/>
          <w:numId w:val="3"/>
        </w:numPr>
        <w:wordWrap w:val="0"/>
        <w:spacing w:line="300" w:lineRule="auto"/>
        <w:ind w:firstLine="480"/>
        <w:outlineLvl w:val="9"/>
        <w:rPr>
          <w:rFonts w:hint="eastAsia" w:ascii="宋体" w:hAnsi="宋体" w:cs="宋体"/>
          <w:b/>
          <w:color w:val="auto"/>
          <w:sz w:val="24"/>
          <w:highlight w:val="none"/>
        </w:rPr>
      </w:pPr>
      <w:r>
        <w:rPr>
          <w:rFonts w:hint="eastAsia" w:ascii="宋体" w:hAnsi="宋体" w:cs="宋体"/>
          <w:color w:val="auto"/>
          <w:sz w:val="24"/>
          <w:highlight w:val="none"/>
        </w:rPr>
        <w:t>合同变更或终止,不能免除违约方应承担的违约责任，给对方造成损失的，还应承担赔偿责任。</w:t>
      </w:r>
    </w:p>
    <w:p w14:paraId="0F232581">
      <w:pPr>
        <w:numPr>
          <w:ilvl w:val="0"/>
          <w:numId w:val="3"/>
        </w:numPr>
        <w:wordWrap w:val="0"/>
        <w:spacing w:line="300" w:lineRule="auto"/>
        <w:ind w:firstLine="482"/>
        <w:outlineLvl w:val="9"/>
        <w:rPr>
          <w:rFonts w:hint="eastAsia" w:ascii="宋体" w:hAnsi="宋体" w:cs="宋体"/>
          <w:b/>
          <w:color w:val="auto"/>
          <w:sz w:val="24"/>
          <w:highlight w:val="none"/>
        </w:rPr>
      </w:pPr>
      <w:r>
        <w:rPr>
          <w:rFonts w:hint="eastAsia" w:ascii="宋体" w:hAnsi="宋体" w:cs="宋体"/>
          <w:b/>
          <w:color w:val="auto"/>
          <w:sz w:val="24"/>
          <w:highlight w:val="none"/>
        </w:rPr>
        <w:t>不可抗力</w:t>
      </w:r>
    </w:p>
    <w:p w14:paraId="2FE8D948">
      <w:pPr>
        <w:numPr>
          <w:ilvl w:val="1"/>
          <w:numId w:val="3"/>
        </w:numPr>
        <w:wordWrap w:val="0"/>
        <w:spacing w:line="300" w:lineRule="auto"/>
        <w:ind w:firstLine="480"/>
        <w:outlineLvl w:val="9"/>
        <w:rPr>
          <w:rFonts w:hint="eastAsia" w:ascii="宋体" w:hAnsi="宋体" w:cs="宋体"/>
          <w:color w:val="auto"/>
          <w:sz w:val="24"/>
          <w:highlight w:val="none"/>
        </w:rPr>
      </w:pPr>
      <w:r>
        <w:rPr>
          <w:rFonts w:hint="eastAsia" w:ascii="宋体" w:hAnsi="宋体" w:cs="宋体"/>
          <w:color w:val="auto"/>
          <w:sz w:val="24"/>
          <w:highlight w:val="none"/>
        </w:rPr>
        <w:t>不可抗力事件系指双方在缔结合同时不能预见、不能避免并不能克服的客观情况，如战争、动乱、地震、飓风、洪水等自然灾害；战争、罢工等社会灾害；国家立法机关的立法行为和行政机关的抽象行政行为等。</w:t>
      </w:r>
    </w:p>
    <w:p w14:paraId="0932AC11">
      <w:pPr>
        <w:numPr>
          <w:ilvl w:val="1"/>
          <w:numId w:val="3"/>
        </w:numPr>
        <w:wordWrap w:val="0"/>
        <w:spacing w:line="300" w:lineRule="auto"/>
        <w:ind w:firstLine="480"/>
        <w:outlineLvl w:val="9"/>
        <w:rPr>
          <w:rFonts w:hint="eastAsia" w:ascii="宋体" w:hAnsi="宋体" w:cs="宋体"/>
          <w:color w:val="auto"/>
          <w:sz w:val="24"/>
          <w:highlight w:val="none"/>
        </w:rPr>
      </w:pPr>
      <w:r>
        <w:rPr>
          <w:rFonts w:hint="eastAsia" w:ascii="宋体" w:hAnsi="宋体" w:cs="宋体"/>
          <w:color w:val="auto"/>
          <w:sz w:val="24"/>
          <w:highlight w:val="none"/>
        </w:rPr>
        <w:t>由于不可抗力事件致使双方或任一方不能履行本合同全部或部分义务的，根据不可抗力的影响，部分或全部免除责任，但法律另有规定的除外，迟延履行合同后发生不可抗力事件的除外。</w:t>
      </w:r>
    </w:p>
    <w:p w14:paraId="481420D0">
      <w:pPr>
        <w:numPr>
          <w:ilvl w:val="1"/>
          <w:numId w:val="3"/>
        </w:numPr>
        <w:wordWrap w:val="0"/>
        <w:spacing w:line="300" w:lineRule="auto"/>
        <w:ind w:firstLine="480"/>
        <w:outlineLvl w:val="9"/>
        <w:rPr>
          <w:rFonts w:hint="eastAsia" w:ascii="宋体" w:hAnsi="宋体" w:cs="宋体"/>
          <w:color w:val="auto"/>
          <w:sz w:val="24"/>
          <w:highlight w:val="none"/>
        </w:rPr>
      </w:pPr>
      <w:r>
        <w:rPr>
          <w:rFonts w:hint="eastAsia" w:ascii="宋体" w:hAnsi="宋体" w:cs="宋体"/>
          <w:color w:val="auto"/>
          <w:sz w:val="24"/>
          <w:highlight w:val="none"/>
        </w:rPr>
        <w:t>不可抗力事件发生时，受不可抗力影响一方应在</w:t>
      </w:r>
      <w:r>
        <w:rPr>
          <w:rFonts w:hint="eastAsia" w:ascii="宋体" w:hAnsi="宋体" w:cs="宋体"/>
          <w:color w:val="auto"/>
          <w:sz w:val="24"/>
          <w:highlight w:val="none"/>
          <w:u w:val="single"/>
        </w:rPr>
        <w:t xml:space="preserve">  10  </w:t>
      </w:r>
      <w:r>
        <w:rPr>
          <w:rFonts w:hint="eastAsia" w:ascii="宋体" w:hAnsi="宋体" w:cs="宋体"/>
          <w:color w:val="auto"/>
          <w:sz w:val="24"/>
          <w:highlight w:val="none"/>
        </w:rPr>
        <w:t>个日历日内以书面形式通知另一方，并在不可抗力事件发生后</w:t>
      </w:r>
      <w:r>
        <w:rPr>
          <w:rFonts w:hint="eastAsia" w:ascii="宋体" w:hAnsi="宋体" w:cs="宋体"/>
          <w:color w:val="auto"/>
          <w:sz w:val="24"/>
          <w:highlight w:val="none"/>
          <w:u w:val="single"/>
        </w:rPr>
        <w:t xml:space="preserve">  10  </w:t>
      </w:r>
      <w:r>
        <w:rPr>
          <w:rFonts w:hint="eastAsia" w:ascii="宋体" w:hAnsi="宋体" w:cs="宋体"/>
          <w:color w:val="auto"/>
          <w:sz w:val="24"/>
          <w:highlight w:val="none"/>
        </w:rPr>
        <w:t>个日历日内向另一方提供发生不可抗力事件及其持续时间的有效证明文件。</w:t>
      </w:r>
    </w:p>
    <w:p w14:paraId="2A6EE8D7">
      <w:pPr>
        <w:numPr>
          <w:ilvl w:val="1"/>
          <w:numId w:val="3"/>
        </w:numPr>
        <w:wordWrap w:val="0"/>
        <w:spacing w:line="300" w:lineRule="auto"/>
        <w:ind w:firstLine="480"/>
        <w:outlineLvl w:val="9"/>
        <w:rPr>
          <w:rFonts w:hint="eastAsia" w:ascii="宋体" w:hAnsi="宋体" w:cs="宋体"/>
          <w:color w:val="auto"/>
          <w:sz w:val="24"/>
          <w:highlight w:val="none"/>
        </w:rPr>
      </w:pPr>
      <w:r>
        <w:rPr>
          <w:rFonts w:hint="eastAsia" w:ascii="宋体" w:hAnsi="宋体" w:cs="宋体"/>
          <w:color w:val="auto"/>
          <w:sz w:val="24"/>
          <w:highlight w:val="none"/>
        </w:rPr>
        <w:t>由于不可抗力的原因，致使合同无法按期履行或不能履行的，所造成的损失由双方各自承担。受不可抗力影响一方未履行通知义务，或未积极采取减损措施，致使损失扩大的，该方应就扩大的损失向另一方承担赔偿责任。</w:t>
      </w:r>
    </w:p>
    <w:p w14:paraId="2E618199">
      <w:pPr>
        <w:numPr>
          <w:ilvl w:val="1"/>
          <w:numId w:val="3"/>
        </w:numPr>
        <w:wordWrap w:val="0"/>
        <w:spacing w:line="300" w:lineRule="auto"/>
        <w:ind w:firstLine="480"/>
        <w:outlineLvl w:val="9"/>
        <w:rPr>
          <w:rFonts w:hint="eastAsia" w:ascii="宋体" w:hAnsi="宋体" w:cs="宋体"/>
          <w:color w:val="auto"/>
          <w:sz w:val="24"/>
          <w:highlight w:val="none"/>
        </w:rPr>
      </w:pPr>
      <w:r>
        <w:rPr>
          <w:rFonts w:hint="eastAsia" w:ascii="宋体" w:hAnsi="宋体" w:cs="宋体"/>
          <w:color w:val="auto"/>
          <w:sz w:val="24"/>
          <w:highlight w:val="none"/>
        </w:rPr>
        <w:t>若不可抗力事件影响持续</w:t>
      </w:r>
      <w:r>
        <w:rPr>
          <w:rFonts w:hint="eastAsia" w:ascii="宋体" w:hAnsi="宋体" w:cs="宋体"/>
          <w:color w:val="auto"/>
          <w:sz w:val="24"/>
          <w:highlight w:val="none"/>
          <w:u w:val="single"/>
        </w:rPr>
        <w:t>30</w:t>
      </w:r>
      <w:r>
        <w:rPr>
          <w:rFonts w:hint="eastAsia" w:ascii="宋体" w:hAnsi="宋体" w:cs="宋体"/>
          <w:color w:val="auto"/>
          <w:sz w:val="24"/>
          <w:highlight w:val="none"/>
        </w:rPr>
        <w:t>个日历日以上，合同任一方有权单方解除合同。</w:t>
      </w:r>
    </w:p>
    <w:p w14:paraId="7E183E08">
      <w:pPr>
        <w:numPr>
          <w:ilvl w:val="0"/>
          <w:numId w:val="3"/>
        </w:numPr>
        <w:wordWrap w:val="0"/>
        <w:spacing w:line="300" w:lineRule="auto"/>
        <w:ind w:firstLine="482"/>
        <w:outlineLvl w:val="9"/>
        <w:rPr>
          <w:rFonts w:hint="eastAsia" w:ascii="宋体" w:hAnsi="宋体" w:cs="宋体"/>
          <w:b/>
          <w:color w:val="auto"/>
          <w:sz w:val="24"/>
          <w:highlight w:val="none"/>
        </w:rPr>
      </w:pPr>
      <w:r>
        <w:rPr>
          <w:rFonts w:hint="eastAsia" w:ascii="宋体" w:hAnsi="宋体" w:cs="宋体"/>
          <w:b/>
          <w:color w:val="auto"/>
          <w:sz w:val="24"/>
          <w:highlight w:val="none"/>
        </w:rPr>
        <w:t>争议解决</w:t>
      </w:r>
    </w:p>
    <w:p w14:paraId="1037BE6F">
      <w:pPr>
        <w:numPr>
          <w:ilvl w:val="1"/>
          <w:numId w:val="3"/>
        </w:numPr>
        <w:wordWrap w:val="0"/>
        <w:topLinePunct/>
        <w:spacing w:line="300" w:lineRule="auto"/>
        <w:ind w:firstLine="480"/>
        <w:outlineLvl w:val="9"/>
        <w:rPr>
          <w:rFonts w:hint="eastAsia" w:ascii="宋体" w:hAnsi="宋体" w:cs="宋体"/>
          <w:color w:val="auto"/>
          <w:sz w:val="24"/>
          <w:highlight w:val="none"/>
        </w:rPr>
      </w:pPr>
      <w:r>
        <w:rPr>
          <w:rFonts w:hint="eastAsia" w:ascii="宋体" w:hAnsi="宋体" w:cs="宋体"/>
          <w:color w:val="auto"/>
          <w:sz w:val="24"/>
          <w:highlight w:val="none"/>
        </w:rPr>
        <w:t>在本合同履行过程中发生争议时，甲乙双方应及时协商解决。如协商不成，依法向甲方所在地管辖人民法院提起诉讼。</w:t>
      </w:r>
    </w:p>
    <w:p w14:paraId="5A354E9F">
      <w:pPr>
        <w:numPr>
          <w:ilvl w:val="0"/>
          <w:numId w:val="3"/>
        </w:numPr>
        <w:wordWrap w:val="0"/>
        <w:spacing w:line="300" w:lineRule="auto"/>
        <w:ind w:firstLine="482"/>
        <w:outlineLvl w:val="9"/>
        <w:rPr>
          <w:rFonts w:hint="eastAsia" w:ascii="宋体" w:hAnsi="宋体" w:cs="宋体"/>
          <w:b/>
          <w:color w:val="auto"/>
          <w:sz w:val="24"/>
          <w:highlight w:val="none"/>
        </w:rPr>
      </w:pPr>
      <w:r>
        <w:rPr>
          <w:rFonts w:hint="eastAsia" w:ascii="宋体" w:hAnsi="宋体" w:cs="宋体"/>
          <w:b/>
          <w:color w:val="auto"/>
          <w:sz w:val="24"/>
          <w:highlight w:val="none"/>
        </w:rPr>
        <w:t>效力及其他</w:t>
      </w:r>
    </w:p>
    <w:p w14:paraId="5C35F36A">
      <w:pPr>
        <w:numPr>
          <w:ilvl w:val="1"/>
          <w:numId w:val="3"/>
        </w:numPr>
        <w:wordWrap w:val="0"/>
        <w:spacing w:line="300" w:lineRule="auto"/>
        <w:ind w:firstLine="480"/>
        <w:outlineLvl w:val="9"/>
        <w:rPr>
          <w:rFonts w:hint="eastAsia" w:ascii="宋体" w:hAnsi="宋体" w:cs="宋体"/>
          <w:color w:val="auto"/>
          <w:sz w:val="24"/>
          <w:highlight w:val="none"/>
        </w:rPr>
      </w:pPr>
      <w:r>
        <w:rPr>
          <w:rFonts w:hint="eastAsia" w:ascii="宋体" w:hAnsi="宋体" w:cs="宋体"/>
          <w:color w:val="auto"/>
          <w:sz w:val="24"/>
          <w:highlight w:val="none"/>
        </w:rPr>
        <w:t>本合同一式</w:t>
      </w:r>
      <w:r>
        <w:rPr>
          <w:rFonts w:hint="eastAsia" w:ascii="宋体" w:hAnsi="宋体" w:cs="宋体"/>
          <w:color w:val="auto"/>
          <w:sz w:val="24"/>
          <w:highlight w:val="none"/>
          <w:u w:val="single"/>
        </w:rPr>
        <w:t xml:space="preserve"> 4 </w:t>
      </w:r>
      <w:r>
        <w:rPr>
          <w:rFonts w:hint="eastAsia" w:ascii="宋体" w:hAnsi="宋体" w:cs="宋体"/>
          <w:color w:val="auto"/>
          <w:sz w:val="24"/>
          <w:highlight w:val="none"/>
        </w:rPr>
        <w:t>份，甲乙双方各执</w:t>
      </w:r>
      <w:r>
        <w:rPr>
          <w:rFonts w:hint="eastAsia" w:ascii="宋体" w:hAnsi="宋体" w:cs="宋体"/>
          <w:color w:val="auto"/>
          <w:sz w:val="24"/>
          <w:highlight w:val="none"/>
          <w:u w:val="single"/>
        </w:rPr>
        <w:t xml:space="preserve"> 2 </w:t>
      </w:r>
      <w:r>
        <w:rPr>
          <w:rFonts w:hint="eastAsia" w:ascii="宋体" w:hAnsi="宋体" w:cs="宋体"/>
          <w:color w:val="auto"/>
          <w:sz w:val="24"/>
          <w:highlight w:val="none"/>
        </w:rPr>
        <w:t>份，自甲、乙双方签字盖章后立即生效。合同扫描件具有同等法律效力。</w:t>
      </w:r>
    </w:p>
    <w:p w14:paraId="0BD3B9BE">
      <w:pPr>
        <w:numPr>
          <w:ilvl w:val="1"/>
          <w:numId w:val="3"/>
        </w:numPr>
        <w:wordWrap w:val="0"/>
        <w:topLinePunct/>
        <w:spacing w:line="300" w:lineRule="auto"/>
        <w:ind w:firstLine="480"/>
        <w:outlineLvl w:val="9"/>
        <w:rPr>
          <w:rFonts w:hint="eastAsia" w:ascii="宋体" w:hAnsi="宋体" w:cs="宋体"/>
          <w:color w:val="auto"/>
          <w:sz w:val="24"/>
          <w:highlight w:val="none"/>
        </w:rPr>
      </w:pPr>
      <w:r>
        <w:rPr>
          <w:rFonts w:hint="eastAsia" w:ascii="宋体" w:hAnsi="宋体" w:cs="宋体"/>
          <w:color w:val="auto"/>
          <w:sz w:val="24"/>
          <w:highlight w:val="none"/>
        </w:rPr>
        <w:t>合同的组成：（</w:t>
      </w:r>
      <w:r>
        <w:rPr>
          <w:rFonts w:hint="eastAsia" w:ascii="宋体" w:hAnsi="宋体" w:cs="宋体"/>
          <w:color w:val="auto"/>
          <w:sz w:val="24"/>
          <w:highlight w:val="none"/>
          <w:lang w:val="en-US" w:eastAsia="zh-CN"/>
        </w:rPr>
        <w:t>1</w:t>
      </w:r>
      <w:r>
        <w:rPr>
          <w:rFonts w:hint="eastAsia" w:ascii="宋体" w:hAnsi="宋体" w:cs="宋体"/>
          <w:color w:val="auto"/>
          <w:sz w:val="24"/>
          <w:highlight w:val="none"/>
        </w:rPr>
        <w:t>）本合同正文；（</w:t>
      </w:r>
      <w:r>
        <w:rPr>
          <w:rFonts w:hint="eastAsia" w:ascii="宋体" w:hAnsi="宋体" w:cs="宋体"/>
          <w:color w:val="auto"/>
          <w:sz w:val="24"/>
          <w:highlight w:val="none"/>
          <w:lang w:val="en-US" w:eastAsia="zh-CN"/>
        </w:rPr>
        <w:t>2</w:t>
      </w:r>
      <w:r>
        <w:rPr>
          <w:rFonts w:hint="eastAsia" w:ascii="宋体" w:hAnsi="宋体" w:cs="宋体"/>
          <w:color w:val="auto"/>
          <w:sz w:val="24"/>
          <w:highlight w:val="none"/>
        </w:rPr>
        <w:t>）合同附件；（</w:t>
      </w:r>
      <w:r>
        <w:rPr>
          <w:rFonts w:hint="eastAsia" w:ascii="宋体" w:hAnsi="宋体" w:cs="宋体"/>
          <w:color w:val="auto"/>
          <w:sz w:val="24"/>
          <w:highlight w:val="none"/>
          <w:lang w:val="en-US" w:eastAsia="zh-CN"/>
        </w:rPr>
        <w:t>3</w:t>
      </w:r>
      <w:r>
        <w:rPr>
          <w:rFonts w:hint="eastAsia" w:ascii="宋体" w:hAnsi="宋体" w:cs="宋体"/>
          <w:color w:val="auto"/>
          <w:sz w:val="24"/>
          <w:highlight w:val="none"/>
        </w:rPr>
        <w:t>）保密协议。</w:t>
      </w:r>
    </w:p>
    <w:p w14:paraId="12EAF717">
      <w:pPr>
        <w:numPr>
          <w:ilvl w:val="1"/>
          <w:numId w:val="3"/>
        </w:numPr>
        <w:wordWrap w:val="0"/>
        <w:spacing w:line="300" w:lineRule="auto"/>
        <w:ind w:firstLine="482"/>
        <w:outlineLvl w:val="9"/>
        <w:rPr>
          <w:rFonts w:hint="eastAsia" w:ascii="宋体" w:hAnsi="宋体" w:cs="宋体"/>
          <w:color w:val="auto"/>
          <w:sz w:val="24"/>
          <w:highlight w:val="none"/>
        </w:rPr>
      </w:pPr>
      <w:r>
        <w:rPr>
          <w:rFonts w:hint="eastAsia" w:ascii="宋体" w:hAnsi="宋体" w:cs="宋体"/>
          <w:color w:val="auto"/>
          <w:sz w:val="24"/>
          <w:highlight w:val="none"/>
        </w:rPr>
        <w:t>本合同正文中未约定的部分，以甲方询比文件、乙方提交的响应文件、合同附件中约定的内容为准。</w:t>
      </w:r>
    </w:p>
    <w:p w14:paraId="6D5FC859">
      <w:pPr>
        <w:numPr>
          <w:ilvl w:val="1"/>
          <w:numId w:val="3"/>
        </w:numPr>
        <w:wordWrap w:val="0"/>
        <w:spacing w:line="300" w:lineRule="auto"/>
        <w:ind w:firstLine="480"/>
        <w:outlineLvl w:val="9"/>
        <w:rPr>
          <w:rFonts w:hint="eastAsia" w:ascii="宋体" w:hAnsi="宋体" w:cs="宋体"/>
          <w:color w:val="auto"/>
          <w:sz w:val="24"/>
          <w:highlight w:val="none"/>
        </w:rPr>
      </w:pPr>
      <w:r>
        <w:rPr>
          <w:rFonts w:hint="eastAsia" w:ascii="宋体" w:hAnsi="宋体" w:cs="宋体"/>
          <w:color w:val="auto"/>
          <w:sz w:val="24"/>
          <w:highlight w:val="none"/>
        </w:rPr>
        <w:t>合同附件为本合同不可分割的组成部分，与正文具有同等法律效力，自双方签署之日起生效。若附件条款与正文条款存在冲突，优先适用对合同目的实现更为直接、具体的条款。</w:t>
      </w:r>
    </w:p>
    <w:p w14:paraId="2791C2E5">
      <w:pPr>
        <w:spacing w:line="324" w:lineRule="auto"/>
        <w:outlineLvl w:val="9"/>
        <w:rPr>
          <w:rFonts w:hint="eastAsia" w:ascii="宋体" w:hAnsi="宋体" w:cs="宋体"/>
          <w:color w:val="auto"/>
          <w:sz w:val="24"/>
          <w:highlight w:val="none"/>
        </w:rPr>
      </w:pPr>
    </w:p>
    <w:p w14:paraId="6ABE6E06">
      <w:pPr>
        <w:spacing w:line="324" w:lineRule="auto"/>
        <w:outlineLvl w:val="9"/>
        <w:rPr>
          <w:rFonts w:hint="eastAsia" w:ascii="宋体" w:hAnsi="宋体" w:cs="宋体"/>
          <w:color w:val="auto"/>
          <w:sz w:val="24"/>
          <w:highlight w:val="none"/>
        </w:rPr>
      </w:pPr>
    </w:p>
    <w:p w14:paraId="52669B6B">
      <w:pPr>
        <w:spacing w:line="324" w:lineRule="auto"/>
        <w:outlineLvl w:val="9"/>
        <w:rPr>
          <w:rFonts w:hint="eastAsia" w:ascii="宋体" w:hAnsi="宋体" w:cs="宋体"/>
          <w:color w:val="auto"/>
          <w:sz w:val="24"/>
          <w:highlight w:val="none"/>
          <w:u w:val="single"/>
        </w:rPr>
      </w:pPr>
      <w:r>
        <w:rPr>
          <w:rFonts w:hint="eastAsia" w:ascii="宋体" w:hAnsi="宋体" w:cs="宋体"/>
          <w:color w:val="auto"/>
          <w:sz w:val="24"/>
          <w:highlight w:val="none"/>
        </w:rPr>
        <w:t>甲方（盖章）：</w:t>
      </w:r>
      <w:r>
        <w:rPr>
          <w:rFonts w:hint="eastAsia" w:ascii="宋体" w:hAnsi="宋体" w:cs="宋体"/>
          <w:color w:val="auto"/>
          <w:sz w:val="24"/>
          <w:highlight w:val="none"/>
          <w:u w:val="single"/>
        </w:rPr>
        <w:t xml:space="preserve"> 深圳市云创得力数据有限公司  </w:t>
      </w:r>
    </w:p>
    <w:p w14:paraId="51815904">
      <w:pPr>
        <w:spacing w:line="324" w:lineRule="auto"/>
        <w:outlineLvl w:val="9"/>
        <w:rPr>
          <w:rFonts w:hint="eastAsia" w:ascii="宋体" w:hAnsi="宋体" w:cs="宋体"/>
          <w:color w:val="auto"/>
          <w:sz w:val="24"/>
          <w:highlight w:val="none"/>
          <w:u w:val="single"/>
        </w:rPr>
      </w:pPr>
      <w:r>
        <w:rPr>
          <w:rFonts w:hint="eastAsia" w:ascii="宋体" w:hAnsi="宋体" w:cs="宋体"/>
          <w:color w:val="auto"/>
          <w:sz w:val="24"/>
          <w:highlight w:val="none"/>
        </w:rPr>
        <w:t>法定代表人（签字或签章） ：</w:t>
      </w:r>
      <w:r>
        <w:rPr>
          <w:rFonts w:hint="eastAsia" w:ascii="宋体" w:hAnsi="宋体" w:cs="宋体"/>
          <w:color w:val="auto"/>
          <w:sz w:val="24"/>
          <w:highlight w:val="none"/>
          <w:u w:val="single"/>
        </w:rPr>
        <w:t xml:space="preserve">　　                  　     </w:t>
      </w:r>
    </w:p>
    <w:p w14:paraId="2A4C7651">
      <w:pPr>
        <w:spacing w:line="324" w:lineRule="auto"/>
        <w:outlineLvl w:val="9"/>
        <w:rPr>
          <w:rFonts w:hint="eastAsia" w:ascii="宋体" w:hAnsi="宋体" w:cs="宋体"/>
          <w:color w:val="auto"/>
          <w:sz w:val="24"/>
          <w:highlight w:val="none"/>
          <w:u w:val="single"/>
        </w:rPr>
      </w:pPr>
      <w:r>
        <w:rPr>
          <w:rFonts w:hint="eastAsia" w:ascii="宋体" w:hAnsi="宋体" w:cs="宋体"/>
          <w:color w:val="auto"/>
          <w:sz w:val="24"/>
          <w:highlight w:val="none"/>
        </w:rPr>
        <w:t>授 权 代 表（签字）：</w:t>
      </w:r>
      <w:r>
        <w:rPr>
          <w:rFonts w:hint="eastAsia" w:ascii="宋体" w:hAnsi="宋体" w:cs="宋体"/>
          <w:color w:val="auto"/>
          <w:sz w:val="24"/>
          <w:highlight w:val="none"/>
          <w:u w:val="single"/>
        </w:rPr>
        <w:t>　　                  　</w:t>
      </w:r>
    </w:p>
    <w:p w14:paraId="2897E3C4">
      <w:pPr>
        <w:spacing w:line="324" w:lineRule="auto"/>
        <w:ind w:right="-281" w:rightChars="-134"/>
        <w:outlineLvl w:val="9"/>
        <w:rPr>
          <w:rFonts w:hint="eastAsia" w:ascii="宋体" w:hAnsi="宋体" w:cs="宋体"/>
          <w:color w:val="auto"/>
          <w:sz w:val="24"/>
          <w:highlight w:val="none"/>
        </w:rPr>
      </w:pPr>
      <w:r>
        <w:rPr>
          <w:rFonts w:hint="eastAsia" w:ascii="宋体" w:hAnsi="宋体" w:cs="宋体"/>
          <w:color w:val="auto"/>
          <w:sz w:val="24"/>
          <w:highlight w:val="none"/>
        </w:rPr>
        <w:t>地址：</w:t>
      </w:r>
      <w:r>
        <w:rPr>
          <w:rFonts w:hint="eastAsia" w:ascii="宋体" w:hAnsi="宋体" w:cs="宋体"/>
          <w:color w:val="auto"/>
          <w:sz w:val="24"/>
          <w:highlight w:val="none"/>
          <w:u w:val="single"/>
          <w:lang w:val="en-US" w:eastAsia="zh-CN"/>
        </w:rPr>
        <w:t>深圳市南山区粤海街道科技园社区科发路3号中电长城大厦B-1103</w:t>
      </w:r>
    </w:p>
    <w:p w14:paraId="4601FE50">
      <w:pPr>
        <w:spacing w:line="324" w:lineRule="auto"/>
        <w:outlineLvl w:val="9"/>
        <w:rPr>
          <w:rFonts w:hint="eastAsia" w:ascii="宋体" w:hAnsi="宋体" w:cs="宋体"/>
          <w:color w:val="auto"/>
          <w:sz w:val="24"/>
          <w:highlight w:val="none"/>
        </w:rPr>
      </w:pPr>
      <w:r>
        <w:rPr>
          <w:rFonts w:hint="eastAsia" w:ascii="宋体" w:hAnsi="宋体" w:cs="宋体"/>
          <w:color w:val="auto"/>
          <w:sz w:val="24"/>
          <w:highlight w:val="none"/>
        </w:rPr>
        <w:t>签约时间：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p>
    <w:p w14:paraId="78DBF0A0">
      <w:pPr>
        <w:spacing w:line="324" w:lineRule="auto"/>
        <w:outlineLvl w:val="9"/>
        <w:rPr>
          <w:rFonts w:hint="eastAsia" w:ascii="宋体" w:hAnsi="宋体" w:cs="宋体"/>
          <w:color w:val="auto"/>
          <w:sz w:val="24"/>
          <w:highlight w:val="none"/>
        </w:rPr>
      </w:pPr>
    </w:p>
    <w:p w14:paraId="5A49845C">
      <w:pPr>
        <w:spacing w:line="324" w:lineRule="auto"/>
        <w:outlineLvl w:val="9"/>
        <w:rPr>
          <w:rFonts w:hint="eastAsia" w:ascii="宋体" w:hAnsi="宋体" w:cs="宋体"/>
          <w:color w:val="auto"/>
          <w:sz w:val="24"/>
          <w:highlight w:val="none"/>
        </w:rPr>
      </w:pPr>
    </w:p>
    <w:p w14:paraId="0630A3A4">
      <w:pPr>
        <w:spacing w:line="324" w:lineRule="auto"/>
        <w:outlineLvl w:val="9"/>
        <w:rPr>
          <w:rFonts w:hint="eastAsia" w:ascii="宋体" w:hAnsi="宋体" w:cs="宋体"/>
          <w:color w:val="auto"/>
          <w:sz w:val="24"/>
          <w:highlight w:val="none"/>
        </w:rPr>
      </w:pPr>
      <w:r>
        <w:rPr>
          <w:rFonts w:hint="eastAsia" w:ascii="宋体" w:hAnsi="宋体" w:cs="宋体"/>
          <w:color w:val="auto"/>
          <w:sz w:val="24"/>
          <w:highlight w:val="none"/>
        </w:rPr>
        <w:t>乙方（盖章）：</w:t>
      </w:r>
      <w:r>
        <w:rPr>
          <w:rFonts w:hint="eastAsia" w:ascii="宋体" w:hAnsi="宋体" w:cs="宋体"/>
          <w:color w:val="auto"/>
          <w:sz w:val="24"/>
          <w:highlight w:val="none"/>
          <w:u w:val="single"/>
        </w:rPr>
        <w:t xml:space="preserve">　　                  　    </w:t>
      </w:r>
    </w:p>
    <w:p w14:paraId="47AD9A6C">
      <w:pPr>
        <w:spacing w:line="324" w:lineRule="auto"/>
        <w:outlineLvl w:val="9"/>
        <w:rPr>
          <w:rFonts w:hint="eastAsia" w:ascii="宋体" w:hAnsi="宋体" w:cs="宋体"/>
          <w:color w:val="auto"/>
          <w:sz w:val="24"/>
          <w:highlight w:val="none"/>
          <w:u w:val="single"/>
        </w:rPr>
      </w:pPr>
      <w:r>
        <w:rPr>
          <w:rFonts w:hint="eastAsia" w:ascii="宋体" w:hAnsi="宋体" w:cs="宋体"/>
          <w:color w:val="auto"/>
          <w:sz w:val="24"/>
          <w:highlight w:val="none"/>
        </w:rPr>
        <w:t>法定代表人（签字或签章） ：</w:t>
      </w:r>
      <w:r>
        <w:rPr>
          <w:rFonts w:hint="eastAsia" w:ascii="宋体" w:hAnsi="宋体" w:cs="宋体"/>
          <w:color w:val="auto"/>
          <w:sz w:val="24"/>
          <w:highlight w:val="none"/>
          <w:u w:val="single"/>
        </w:rPr>
        <w:t xml:space="preserve">　　　　　　    </w:t>
      </w:r>
    </w:p>
    <w:p w14:paraId="1309494D">
      <w:pPr>
        <w:spacing w:line="324" w:lineRule="auto"/>
        <w:outlineLvl w:val="9"/>
        <w:rPr>
          <w:rFonts w:hint="eastAsia" w:ascii="宋体" w:hAnsi="宋体" w:cs="宋体"/>
          <w:color w:val="auto"/>
          <w:sz w:val="24"/>
          <w:highlight w:val="none"/>
          <w:u w:val="single"/>
        </w:rPr>
      </w:pPr>
      <w:r>
        <w:rPr>
          <w:rFonts w:hint="eastAsia" w:ascii="宋体" w:hAnsi="宋体" w:cs="宋体"/>
          <w:color w:val="auto"/>
          <w:sz w:val="24"/>
          <w:highlight w:val="none"/>
        </w:rPr>
        <w:t>授 权 代 表（签字）：</w:t>
      </w:r>
      <w:r>
        <w:rPr>
          <w:rFonts w:hint="eastAsia" w:ascii="宋体" w:hAnsi="宋体" w:cs="宋体"/>
          <w:color w:val="auto"/>
          <w:sz w:val="24"/>
          <w:highlight w:val="none"/>
          <w:u w:val="single"/>
        </w:rPr>
        <w:t xml:space="preserve">　　　　           　 </w:t>
      </w:r>
    </w:p>
    <w:p w14:paraId="2A7F7C25">
      <w:pPr>
        <w:spacing w:line="324" w:lineRule="auto"/>
        <w:outlineLvl w:val="9"/>
        <w:rPr>
          <w:rFonts w:hint="eastAsia" w:ascii="宋体" w:hAnsi="宋体" w:cs="宋体"/>
          <w:color w:val="auto"/>
          <w:sz w:val="24"/>
          <w:highlight w:val="none"/>
        </w:rPr>
      </w:pPr>
      <w:r>
        <w:rPr>
          <w:rFonts w:hint="eastAsia" w:ascii="宋体" w:hAnsi="宋体" w:cs="宋体"/>
          <w:color w:val="auto"/>
          <w:sz w:val="24"/>
          <w:highlight w:val="none"/>
        </w:rPr>
        <w:t>地址：</w:t>
      </w:r>
      <w:r>
        <w:rPr>
          <w:rFonts w:hint="eastAsia" w:ascii="宋体" w:hAnsi="宋体" w:cs="宋体"/>
          <w:color w:val="auto"/>
          <w:sz w:val="24"/>
          <w:highlight w:val="none"/>
          <w:u w:val="single"/>
        </w:rPr>
        <w:t xml:space="preserve">　　　　           　   　           </w:t>
      </w:r>
    </w:p>
    <w:p w14:paraId="1375F0AE">
      <w:pPr>
        <w:spacing w:line="324" w:lineRule="auto"/>
        <w:outlineLvl w:val="9"/>
        <w:rPr>
          <w:rFonts w:hint="eastAsia" w:ascii="宋体" w:hAnsi="宋体" w:cs="宋体"/>
          <w:color w:val="auto"/>
          <w:sz w:val="24"/>
          <w:highlight w:val="none"/>
        </w:rPr>
      </w:pPr>
      <w:r>
        <w:rPr>
          <w:rFonts w:hint="eastAsia" w:ascii="宋体" w:hAnsi="宋体" w:cs="宋体"/>
          <w:color w:val="auto"/>
          <w:sz w:val="24"/>
          <w:highlight w:val="none"/>
        </w:rPr>
        <w:t>签约时间：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p>
    <w:p w14:paraId="6D30A71B">
      <w:pPr>
        <w:spacing w:line="300" w:lineRule="auto"/>
        <w:outlineLvl w:val="9"/>
        <w:rPr>
          <w:rFonts w:hint="eastAsia" w:ascii="黑体" w:hAnsi="黑体" w:eastAsia="黑体" w:cs="黑体"/>
          <w:b/>
          <w:bCs/>
          <w:color w:val="auto"/>
          <w:sz w:val="24"/>
          <w:highlight w:val="none"/>
        </w:rPr>
      </w:pPr>
    </w:p>
    <w:p w14:paraId="265B3A08">
      <w:pPr>
        <w:jc w:val="center"/>
        <w:outlineLvl w:val="0"/>
        <w:rPr>
          <w:rFonts w:hint="eastAsia"/>
        </w:rPr>
      </w:pPr>
      <w:r>
        <w:rPr>
          <w:rFonts w:hint="eastAsia" w:ascii="黑体" w:hAnsi="黑体" w:eastAsia="黑体" w:cs="黑体"/>
          <w:b/>
          <w:bCs/>
          <w:color w:val="auto"/>
          <w:sz w:val="24"/>
          <w:highlight w:val="none"/>
        </w:rPr>
        <w:br w:type="page"/>
      </w:r>
      <w:bookmarkStart w:id="4" w:name="_Toc32324604"/>
      <w:r>
        <w:rPr>
          <w:rFonts w:hint="eastAsia" w:ascii="Times New Roman" w:hAnsi="Times New Roman" w:eastAsia="宋体" w:cs="Times New Roman"/>
          <w:b/>
          <w:bCs/>
          <w:color w:val="auto"/>
          <w:kern w:val="44"/>
          <w:sz w:val="40"/>
          <w:szCs w:val="44"/>
          <w:highlight w:val="none"/>
          <w:lang w:val="en-US" w:eastAsia="zh-CN" w:bidi="ar-SA"/>
        </w:rPr>
        <w:t>第五章 采购需求</w:t>
      </w:r>
      <w:bookmarkEnd w:id="4"/>
    </w:p>
    <w:p w14:paraId="1CEACF3C">
      <w:pPr>
        <w:rPr>
          <w:rFonts w:hint="eastAsia"/>
          <w:b/>
          <w:bCs/>
          <w:sz w:val="24"/>
          <w:szCs w:val="32"/>
        </w:rPr>
      </w:pPr>
      <w:r>
        <w:rPr>
          <w:rFonts w:hint="eastAsia"/>
          <w:b/>
          <w:bCs/>
          <w:sz w:val="24"/>
          <w:szCs w:val="32"/>
        </w:rPr>
        <w:t>一、总则</w:t>
      </w:r>
    </w:p>
    <w:p w14:paraId="2125D199">
      <w:pPr>
        <w:rPr>
          <w:rFonts w:hint="eastAsia"/>
          <w:sz w:val="24"/>
          <w:szCs w:val="32"/>
        </w:rPr>
      </w:pPr>
      <w:r>
        <w:rPr>
          <w:rFonts w:hint="eastAsia"/>
          <w:sz w:val="24"/>
          <w:szCs w:val="32"/>
        </w:rPr>
        <w:t>1.1 适用范围</w:t>
      </w:r>
    </w:p>
    <w:p w14:paraId="1976CDF0">
      <w:pPr>
        <w:rPr>
          <w:rFonts w:hint="eastAsia"/>
          <w:sz w:val="24"/>
          <w:szCs w:val="32"/>
        </w:rPr>
      </w:pPr>
      <w:r>
        <w:rPr>
          <w:rFonts w:hint="eastAsia"/>
          <w:sz w:val="24"/>
          <w:szCs w:val="32"/>
        </w:rPr>
        <w:t>本需求覆盖智能化招投标平台全流程：采购招标、投标方案、合同签订、系统建设、实施交付、测试验收、运维质保全环节，为乙方唯一实施交付技术依据。</w:t>
      </w:r>
    </w:p>
    <w:p w14:paraId="04712262">
      <w:pPr>
        <w:rPr>
          <w:rFonts w:hint="eastAsia"/>
          <w:sz w:val="24"/>
          <w:szCs w:val="32"/>
        </w:rPr>
      </w:pPr>
      <w:r>
        <w:rPr>
          <w:rFonts w:hint="eastAsia"/>
          <w:sz w:val="24"/>
          <w:szCs w:val="32"/>
        </w:rPr>
        <w:t>1.2 建设定位</w:t>
      </w:r>
    </w:p>
    <w:p w14:paraId="0D745A01">
      <w:pPr>
        <w:rPr>
          <w:rFonts w:hint="eastAsia"/>
          <w:sz w:val="24"/>
          <w:szCs w:val="32"/>
        </w:rPr>
      </w:pPr>
      <w:r>
        <w:rPr>
          <w:rFonts w:hint="eastAsia"/>
          <w:sz w:val="24"/>
          <w:szCs w:val="32"/>
        </w:rPr>
        <w:t>搭建100%内网私有化一体化AI智能招投标平台，覆盖政府采购、工程招标代理、开标评标、供应商监管、内部经营管控、公文会议全业务；交易、办公、模型语料数据全部不出本地内网，满足国资监管、等保2.0、数据安全、信创自主可控合规要求，打通业务与数字化办公场景，实现全流程智能监管、数据可视化、AI文稿辅助。</w:t>
      </w:r>
    </w:p>
    <w:p w14:paraId="6128FB93">
      <w:pPr>
        <w:rPr>
          <w:rFonts w:hint="eastAsia"/>
          <w:sz w:val="24"/>
          <w:szCs w:val="32"/>
        </w:rPr>
      </w:pPr>
      <w:r>
        <w:rPr>
          <w:rFonts w:hint="eastAsia"/>
          <w:sz w:val="24"/>
          <w:szCs w:val="32"/>
        </w:rPr>
        <w:t>1.3 建设原则</w:t>
      </w:r>
    </w:p>
    <w:p w14:paraId="279D61F0">
      <w:pPr>
        <w:rPr>
          <w:rFonts w:hint="eastAsia"/>
          <w:sz w:val="24"/>
          <w:szCs w:val="32"/>
        </w:rPr>
      </w:pPr>
      <w:r>
        <w:rPr>
          <w:rFonts w:hint="eastAsia"/>
          <w:sz w:val="24"/>
          <w:szCs w:val="32"/>
        </w:rPr>
        <w:t>监管牵引、数据驱动、AI赋能、内网安全隔离、全栈信创适配、分步落地、持续迭代；三层架构（交易业务层、AI办公层、私有化大模型底座），禁止公有云传输敏感数据，项目全部成果知识产权归属甲方。</w:t>
      </w:r>
    </w:p>
    <w:p w14:paraId="1E98E7FF">
      <w:pPr>
        <w:rPr>
          <w:rFonts w:hint="eastAsia"/>
          <w:sz w:val="24"/>
          <w:szCs w:val="32"/>
        </w:rPr>
      </w:pPr>
      <w:r>
        <w:rPr>
          <w:rFonts w:hint="eastAsia"/>
          <w:sz w:val="24"/>
          <w:szCs w:val="32"/>
        </w:rPr>
        <w:t>1.4 硬性约束</w:t>
      </w:r>
    </w:p>
    <w:p w14:paraId="3B55C958">
      <w:pPr>
        <w:rPr>
          <w:rFonts w:hint="eastAsia"/>
          <w:sz w:val="24"/>
          <w:szCs w:val="32"/>
        </w:rPr>
      </w:pPr>
      <w:r>
        <w:rPr>
          <w:rFonts w:hint="eastAsia"/>
          <w:sz w:val="24"/>
          <w:szCs w:val="32"/>
        </w:rPr>
        <w:t>1. 大模型、向量库、业务数据库、文件存储、AI推理服务全部本地私有化内网部署，无甲方书面许可不得向外网、第三方、境外传输任何业务涉密数据；</w:t>
      </w:r>
    </w:p>
    <w:p w14:paraId="3DE4479F">
      <w:pPr>
        <w:rPr>
          <w:rFonts w:hint="eastAsia"/>
          <w:sz w:val="24"/>
          <w:szCs w:val="32"/>
        </w:rPr>
      </w:pPr>
      <w:r>
        <w:rPr>
          <w:rFonts w:hint="eastAsia"/>
          <w:sz w:val="24"/>
          <w:szCs w:val="32"/>
        </w:rPr>
        <w:t>2. 交付可独立运维完整系统，无厂商技术锁定、数据锁定，支持算力横向扩容、国产化软硬件替换、全量数据迁移；</w:t>
      </w:r>
    </w:p>
    <w:p w14:paraId="2D7F8A83">
      <w:pPr>
        <w:rPr>
          <w:rFonts w:hint="eastAsia"/>
          <w:sz w:val="24"/>
          <w:szCs w:val="32"/>
        </w:rPr>
      </w:pPr>
      <w:r>
        <w:rPr>
          <w:rFonts w:hint="eastAsia"/>
          <w:sz w:val="24"/>
          <w:szCs w:val="32"/>
        </w:rPr>
        <w:t>3. 本需求为最低建设标准，乙方可优化扩容，不得删减功能、降低安全、性能、服务指标；</w:t>
      </w:r>
    </w:p>
    <w:p w14:paraId="6C2F37E5">
      <w:pPr>
        <w:rPr>
          <w:rFonts w:hint="eastAsia"/>
          <w:sz w:val="24"/>
          <w:szCs w:val="32"/>
        </w:rPr>
      </w:pPr>
      <w:r>
        <w:rPr>
          <w:rFonts w:hint="eastAsia"/>
          <w:sz w:val="24"/>
          <w:szCs w:val="32"/>
        </w:rPr>
        <w:t>4. 全流程遵守《招标投标法》《政府采购法》《数据安全法》《网络安全法》《个人信息保护法》、等保2.0、生成式AI管理办法、密码应用规范及省市公共资源交易监管制度。</w:t>
      </w:r>
    </w:p>
    <w:p w14:paraId="70A0C937">
      <w:pPr>
        <w:rPr>
          <w:rFonts w:hint="eastAsia"/>
          <w:sz w:val="24"/>
          <w:szCs w:val="32"/>
        </w:rPr>
      </w:pPr>
      <w:r>
        <w:rPr>
          <w:rFonts w:hint="eastAsia"/>
          <w:sz w:val="24"/>
          <w:szCs w:val="32"/>
        </w:rPr>
        <w:t>1.5 交付物归属</w:t>
      </w:r>
    </w:p>
    <w:p w14:paraId="677849F6">
      <w:pPr>
        <w:rPr>
          <w:rFonts w:hint="eastAsia"/>
          <w:sz w:val="24"/>
          <w:szCs w:val="32"/>
        </w:rPr>
      </w:pPr>
      <w:r>
        <w:rPr>
          <w:rFonts w:hint="eastAsia"/>
          <w:sz w:val="24"/>
          <w:szCs w:val="32"/>
        </w:rPr>
        <w:t>全部软件系统、模型配置、标注语料、知识库、数据标准、设计文档、测试材料、培训运维手册知识产权永久归</w:t>
      </w:r>
      <w:r>
        <w:rPr>
          <w:rFonts w:hint="eastAsia"/>
          <w:sz w:val="24"/>
          <w:szCs w:val="32"/>
          <w:lang w:eastAsia="zh-CN"/>
        </w:rPr>
        <w:t>深圳市云创得力数据有限公司</w:t>
      </w:r>
      <w:r>
        <w:rPr>
          <w:rFonts w:hint="eastAsia"/>
          <w:sz w:val="24"/>
          <w:szCs w:val="32"/>
        </w:rPr>
        <w:t>所有，乙方不得商用、外借、对外展示。</w:t>
      </w:r>
    </w:p>
    <w:p w14:paraId="3C2434EF">
      <w:pPr>
        <w:rPr>
          <w:rFonts w:hint="eastAsia"/>
          <w:b/>
          <w:bCs/>
          <w:sz w:val="24"/>
          <w:szCs w:val="32"/>
        </w:rPr>
      </w:pPr>
      <w:r>
        <w:rPr>
          <w:rFonts w:hint="eastAsia"/>
          <w:b/>
          <w:bCs/>
          <w:sz w:val="24"/>
          <w:szCs w:val="32"/>
        </w:rPr>
        <w:t>二、项目概述</w:t>
      </w:r>
    </w:p>
    <w:p w14:paraId="7C0F2158">
      <w:pPr>
        <w:rPr>
          <w:rFonts w:hint="eastAsia"/>
          <w:sz w:val="24"/>
          <w:szCs w:val="32"/>
        </w:rPr>
      </w:pPr>
      <w:r>
        <w:rPr>
          <w:rFonts w:hint="eastAsia"/>
          <w:sz w:val="24"/>
          <w:szCs w:val="32"/>
        </w:rPr>
        <w:t>2.1 项目痛点</w:t>
      </w:r>
    </w:p>
    <w:p w14:paraId="268CEC6E">
      <w:pPr>
        <w:rPr>
          <w:rFonts w:hint="eastAsia"/>
          <w:sz w:val="24"/>
          <w:szCs w:val="32"/>
        </w:rPr>
      </w:pPr>
      <w:r>
        <w:rPr>
          <w:rFonts w:hint="eastAsia"/>
          <w:sz w:val="24"/>
          <w:szCs w:val="32"/>
        </w:rPr>
        <w:t>1. 交易业务痛点：项目、供应商、评标档案分散存储；招标文件人工审核易出现违规排他条款；开标清标评标人工工作量大，围串标、标书雷同、异常报价依靠人工识别；缺少统一报价分析底座，经营数据无数字化风险预警；政策范本检索低效，代理合规风险高。</w:t>
      </w:r>
    </w:p>
    <w:p w14:paraId="752548DD">
      <w:pPr>
        <w:rPr>
          <w:rFonts w:hint="eastAsia"/>
          <w:sz w:val="24"/>
          <w:szCs w:val="32"/>
        </w:rPr>
      </w:pPr>
      <w:r>
        <w:rPr>
          <w:rFonts w:hint="eastAsia"/>
          <w:sz w:val="24"/>
          <w:szCs w:val="32"/>
        </w:rPr>
        <w:t>2. 内部办公痛点：公文、汇报、党建材料人工校对易出现格式、政治表述、法规错误；会议录音纪要人工整理耗时；经营简报、监管报送材料纯人工撰写，重复统计效率低下。</w:t>
      </w:r>
    </w:p>
    <w:p w14:paraId="1EF28176">
      <w:pPr>
        <w:rPr>
          <w:rFonts w:hint="eastAsia"/>
          <w:sz w:val="24"/>
          <w:szCs w:val="32"/>
        </w:rPr>
      </w:pPr>
      <w:r>
        <w:rPr>
          <w:rFonts w:hint="eastAsia"/>
          <w:sz w:val="24"/>
          <w:szCs w:val="32"/>
        </w:rPr>
        <w:t>2.2 总体建设目标</w:t>
      </w:r>
    </w:p>
    <w:p w14:paraId="0C5A7A9E">
      <w:pPr>
        <w:rPr>
          <w:rFonts w:hint="eastAsia"/>
          <w:sz w:val="24"/>
          <w:szCs w:val="32"/>
        </w:rPr>
      </w:pPr>
      <w:r>
        <w:rPr>
          <w:rFonts w:hint="eastAsia"/>
          <w:sz w:val="24"/>
          <w:szCs w:val="32"/>
        </w:rPr>
        <w:t>1. 交易监管：AI招标文件合规体检、全自动清标、辅助评标、围串标智能预警，全流程留痕；供应商全生命周期画像、报价行情分析；经营数据可视化看板，风险自动预警。</w:t>
      </w:r>
    </w:p>
    <w:p w14:paraId="63BD90D6">
      <w:pPr>
        <w:rPr>
          <w:rFonts w:hint="eastAsia"/>
          <w:sz w:val="24"/>
          <w:szCs w:val="32"/>
        </w:rPr>
      </w:pPr>
      <w:r>
        <w:rPr>
          <w:rFonts w:hint="eastAsia"/>
          <w:sz w:val="24"/>
          <w:szCs w:val="32"/>
        </w:rPr>
        <w:t>2. AI办公：智能文本多级校对、离线智慧会议转写纪要、经营报告自动生成，降低人工重复工作。</w:t>
      </w:r>
    </w:p>
    <w:p w14:paraId="31D88D2D">
      <w:pPr>
        <w:rPr>
          <w:rFonts w:hint="eastAsia"/>
          <w:sz w:val="24"/>
          <w:szCs w:val="32"/>
        </w:rPr>
      </w:pPr>
      <w:r>
        <w:rPr>
          <w:rFonts w:hint="eastAsia"/>
          <w:sz w:val="24"/>
          <w:szCs w:val="32"/>
        </w:rPr>
        <w:t>3. 底座安全：本地私有化大模型，全信创兼容，五级细粒度权限、全操作日志审计、敏感数据脱敏、文件水印加密。</w:t>
      </w:r>
    </w:p>
    <w:p w14:paraId="37799F94">
      <w:pPr>
        <w:rPr>
          <w:rFonts w:hint="eastAsia"/>
          <w:sz w:val="24"/>
          <w:szCs w:val="32"/>
        </w:rPr>
      </w:pPr>
      <w:r>
        <w:rPr>
          <w:rFonts w:hint="eastAsia"/>
          <w:sz w:val="24"/>
          <w:szCs w:val="32"/>
        </w:rPr>
        <w:t>4. 系统集成：打通统一身份OA、财务、现有交易平台、WPS移动端，账号流程数据互通，避免重复录入。</w:t>
      </w:r>
    </w:p>
    <w:p w14:paraId="73814C52">
      <w:pPr>
        <w:rPr>
          <w:rFonts w:hint="eastAsia"/>
          <w:sz w:val="24"/>
          <w:szCs w:val="32"/>
        </w:rPr>
      </w:pPr>
      <w:r>
        <w:rPr>
          <w:rFonts w:hint="eastAsia"/>
          <w:sz w:val="24"/>
          <w:szCs w:val="32"/>
        </w:rPr>
        <w:t>2.3 三大建设板块</w:t>
      </w:r>
    </w:p>
    <w:p w14:paraId="448487DF">
      <w:pPr>
        <w:rPr>
          <w:rFonts w:hint="eastAsia"/>
          <w:sz w:val="24"/>
          <w:szCs w:val="32"/>
        </w:rPr>
      </w:pPr>
      <w:r>
        <w:rPr>
          <w:rFonts w:hint="eastAsia"/>
          <w:sz w:val="24"/>
          <w:szCs w:val="32"/>
        </w:rPr>
        <w:t>板块一：公共资源交易核心业务模块</w:t>
      </w:r>
    </w:p>
    <w:p w14:paraId="35DE3F86">
      <w:pPr>
        <w:rPr>
          <w:rFonts w:hint="eastAsia"/>
          <w:sz w:val="24"/>
          <w:szCs w:val="32"/>
        </w:rPr>
      </w:pPr>
      <w:r>
        <w:rPr>
          <w:rFonts w:hint="eastAsia"/>
          <w:sz w:val="24"/>
          <w:szCs w:val="32"/>
        </w:rPr>
        <w:t>1. 采购单位CRM管理模块</w:t>
      </w:r>
    </w:p>
    <w:p w14:paraId="24685800">
      <w:pPr>
        <w:rPr>
          <w:rFonts w:hint="eastAsia"/>
          <w:sz w:val="24"/>
          <w:szCs w:val="32"/>
        </w:rPr>
      </w:pPr>
      <w:r>
        <w:rPr>
          <w:rFonts w:hint="eastAsia"/>
          <w:sz w:val="24"/>
          <w:szCs w:val="32"/>
        </w:rPr>
        <w:t>2. 智能评标机器人（核心）</w:t>
      </w:r>
    </w:p>
    <w:p w14:paraId="13840150">
      <w:pPr>
        <w:rPr>
          <w:rFonts w:hint="eastAsia"/>
          <w:sz w:val="24"/>
          <w:szCs w:val="32"/>
        </w:rPr>
      </w:pPr>
      <w:r>
        <w:rPr>
          <w:rFonts w:hint="eastAsia"/>
          <w:sz w:val="24"/>
          <w:szCs w:val="32"/>
        </w:rPr>
        <w:t>3. 供应商报价与交易风险研判模块</w:t>
      </w:r>
    </w:p>
    <w:p w14:paraId="6E33E882">
      <w:pPr>
        <w:rPr>
          <w:rFonts w:hint="eastAsia"/>
          <w:sz w:val="24"/>
          <w:szCs w:val="32"/>
        </w:rPr>
      </w:pPr>
      <w:r>
        <w:rPr>
          <w:rFonts w:hint="eastAsia"/>
          <w:sz w:val="24"/>
          <w:szCs w:val="32"/>
        </w:rPr>
        <w:t>4. 代理经营分析驾驶舱模块</w:t>
      </w:r>
    </w:p>
    <w:p w14:paraId="4DFA5E3E">
      <w:pPr>
        <w:rPr>
          <w:rFonts w:hint="eastAsia"/>
          <w:sz w:val="24"/>
          <w:szCs w:val="32"/>
        </w:rPr>
      </w:pPr>
      <w:r>
        <w:rPr>
          <w:rFonts w:hint="eastAsia"/>
          <w:sz w:val="24"/>
          <w:szCs w:val="32"/>
        </w:rPr>
        <w:t>5. 公共资源交易智能知识库模块</w:t>
      </w:r>
    </w:p>
    <w:p w14:paraId="47CC142F">
      <w:pPr>
        <w:rPr>
          <w:rFonts w:hint="eastAsia"/>
          <w:sz w:val="24"/>
          <w:szCs w:val="32"/>
        </w:rPr>
      </w:pPr>
      <w:r>
        <w:rPr>
          <w:rFonts w:hint="eastAsia"/>
          <w:sz w:val="24"/>
          <w:szCs w:val="32"/>
        </w:rPr>
        <w:t>6. 自然语言智能问数模块</w:t>
      </w:r>
    </w:p>
    <w:p w14:paraId="54EC9CA7">
      <w:pPr>
        <w:rPr>
          <w:rFonts w:hint="eastAsia"/>
          <w:sz w:val="24"/>
          <w:szCs w:val="32"/>
        </w:rPr>
      </w:pPr>
      <w:r>
        <w:rPr>
          <w:rFonts w:hint="eastAsia"/>
          <w:sz w:val="24"/>
          <w:szCs w:val="32"/>
        </w:rPr>
        <w:t>7. 交易场景智能问答模块</w:t>
      </w:r>
    </w:p>
    <w:p w14:paraId="13B18148">
      <w:pPr>
        <w:rPr>
          <w:rFonts w:hint="eastAsia"/>
          <w:sz w:val="24"/>
          <w:szCs w:val="32"/>
        </w:rPr>
      </w:pPr>
      <w:r>
        <w:rPr>
          <w:rFonts w:hint="eastAsia"/>
          <w:sz w:val="24"/>
          <w:szCs w:val="32"/>
        </w:rPr>
        <w:t>板块二：一体化AI办公辅助模块</w:t>
      </w:r>
    </w:p>
    <w:p w14:paraId="1222F836">
      <w:pPr>
        <w:rPr>
          <w:rFonts w:hint="eastAsia"/>
          <w:sz w:val="24"/>
          <w:szCs w:val="32"/>
        </w:rPr>
      </w:pPr>
      <w:r>
        <w:rPr>
          <w:rFonts w:hint="eastAsia"/>
          <w:sz w:val="24"/>
          <w:szCs w:val="32"/>
        </w:rPr>
        <w:t>1. 智能文本校对模块</w:t>
      </w:r>
    </w:p>
    <w:p w14:paraId="0E8801B8">
      <w:pPr>
        <w:rPr>
          <w:rFonts w:hint="eastAsia"/>
          <w:sz w:val="24"/>
          <w:szCs w:val="32"/>
        </w:rPr>
      </w:pPr>
      <w:r>
        <w:rPr>
          <w:rFonts w:hint="eastAsia"/>
          <w:sz w:val="24"/>
          <w:szCs w:val="32"/>
        </w:rPr>
        <w:t>2. 离线智慧会议模块</w:t>
      </w:r>
    </w:p>
    <w:p w14:paraId="22E5B100">
      <w:pPr>
        <w:rPr>
          <w:rFonts w:hint="eastAsia"/>
          <w:sz w:val="24"/>
          <w:szCs w:val="32"/>
        </w:rPr>
      </w:pPr>
      <w:r>
        <w:rPr>
          <w:rFonts w:hint="eastAsia"/>
          <w:sz w:val="24"/>
          <w:szCs w:val="32"/>
        </w:rPr>
        <w:t>3. 智能报告生成模块</w:t>
      </w:r>
    </w:p>
    <w:p w14:paraId="7645CE47">
      <w:pPr>
        <w:rPr>
          <w:rFonts w:hint="eastAsia"/>
          <w:sz w:val="24"/>
          <w:szCs w:val="32"/>
        </w:rPr>
      </w:pPr>
      <w:r>
        <w:rPr>
          <w:rFonts w:hint="eastAsia"/>
          <w:sz w:val="24"/>
          <w:szCs w:val="32"/>
        </w:rPr>
        <w:t>板块三：统一私有化大模型支撑底座</w:t>
      </w:r>
    </w:p>
    <w:p w14:paraId="402F1E90">
      <w:pPr>
        <w:rPr>
          <w:rFonts w:hint="eastAsia"/>
          <w:sz w:val="24"/>
          <w:szCs w:val="32"/>
        </w:rPr>
      </w:pPr>
      <w:r>
        <w:rPr>
          <w:rFonts w:hint="eastAsia"/>
          <w:sz w:val="24"/>
          <w:szCs w:val="32"/>
        </w:rPr>
        <w:t>承载全部AI能力，包含本地大模型推理、向量数据库、统一权限、日志审计、数据脱敏、备份监控、多系统集成API接口。</w:t>
      </w:r>
    </w:p>
    <w:p w14:paraId="1BF0875A">
      <w:pPr>
        <w:rPr>
          <w:rFonts w:hint="eastAsia"/>
          <w:sz w:val="24"/>
          <w:szCs w:val="32"/>
        </w:rPr>
      </w:pPr>
      <w:r>
        <w:rPr>
          <w:rFonts w:hint="eastAsia"/>
          <w:sz w:val="24"/>
          <w:szCs w:val="32"/>
        </w:rPr>
        <w:t>2.4 项目工期</w:t>
      </w:r>
    </w:p>
    <w:p w14:paraId="6C2B45E4">
      <w:pPr>
        <w:rPr>
          <w:rFonts w:hint="eastAsia"/>
          <w:sz w:val="24"/>
          <w:szCs w:val="32"/>
        </w:rPr>
      </w:pPr>
      <w:r>
        <w:rPr>
          <w:rFonts w:hint="eastAsia"/>
          <w:sz w:val="24"/>
          <w:szCs w:val="32"/>
        </w:rPr>
        <w:t>合同签订3个月内完成部署、数据初始化、模型调优、接口联调、分层培训、试运行整改，达到初验标准，可根据甲方数据交付进度微调，乙方提交完整里程碑进度计划。</w:t>
      </w:r>
    </w:p>
    <w:p w14:paraId="27301E42">
      <w:pPr>
        <w:rPr>
          <w:rFonts w:hint="eastAsia"/>
          <w:sz w:val="24"/>
          <w:szCs w:val="32"/>
        </w:rPr>
      </w:pPr>
      <w:r>
        <w:rPr>
          <w:rFonts w:hint="eastAsia"/>
          <w:sz w:val="24"/>
          <w:szCs w:val="32"/>
        </w:rPr>
        <w:t>三、遵循技术标准</w:t>
      </w:r>
    </w:p>
    <w:p w14:paraId="405C327E">
      <w:pPr>
        <w:rPr>
          <w:rFonts w:hint="eastAsia"/>
          <w:sz w:val="24"/>
          <w:szCs w:val="32"/>
        </w:rPr>
      </w:pPr>
      <w:r>
        <w:rPr>
          <w:rFonts w:hint="eastAsia"/>
          <w:sz w:val="24"/>
          <w:szCs w:val="32"/>
        </w:rPr>
        <w:t>1. 《招标投标法》《政府采购法》及实施条例；</w:t>
      </w:r>
    </w:p>
    <w:p w14:paraId="2B426827">
      <w:pPr>
        <w:rPr>
          <w:rFonts w:hint="eastAsia"/>
          <w:sz w:val="24"/>
          <w:szCs w:val="32"/>
        </w:rPr>
      </w:pPr>
      <w:r>
        <w:rPr>
          <w:rFonts w:hint="eastAsia"/>
          <w:sz w:val="24"/>
          <w:szCs w:val="32"/>
        </w:rPr>
        <w:t>2. 《网络安全法》《数据安全法》《个人信息保护法》；</w:t>
      </w:r>
    </w:p>
    <w:p w14:paraId="0D9F57F8">
      <w:pPr>
        <w:rPr>
          <w:rFonts w:hint="eastAsia"/>
          <w:sz w:val="24"/>
          <w:szCs w:val="32"/>
        </w:rPr>
      </w:pPr>
      <w:r>
        <w:rPr>
          <w:rFonts w:hint="eastAsia"/>
          <w:sz w:val="24"/>
          <w:szCs w:val="32"/>
        </w:rPr>
        <w:t>3. GB/T22239等保2.0、GB/T39786密码应用、GB/T35273个人信息安全规范；</w:t>
      </w:r>
    </w:p>
    <w:p w14:paraId="07A97A81">
      <w:pPr>
        <w:rPr>
          <w:rFonts w:hint="eastAsia"/>
          <w:sz w:val="24"/>
          <w:szCs w:val="32"/>
        </w:rPr>
      </w:pPr>
      <w:r>
        <w:rPr>
          <w:rFonts w:hint="eastAsia"/>
          <w:sz w:val="24"/>
          <w:szCs w:val="32"/>
        </w:rPr>
        <w:t>4. 《生成式人工智能服务管理暂行办法》、党政机关公文格式国标；</w:t>
      </w:r>
    </w:p>
    <w:p w14:paraId="0CC8C6F3">
      <w:pPr>
        <w:rPr>
          <w:rFonts w:hint="eastAsia"/>
          <w:sz w:val="24"/>
          <w:szCs w:val="32"/>
        </w:rPr>
      </w:pPr>
      <w:r>
        <w:rPr>
          <w:rFonts w:hint="eastAsia"/>
          <w:sz w:val="24"/>
          <w:szCs w:val="32"/>
        </w:rPr>
        <w:t>5. GB/T25000软件工程、GB/T28827运维标准、全国信创适配规范；</w:t>
      </w:r>
    </w:p>
    <w:p w14:paraId="26788257">
      <w:pPr>
        <w:rPr>
          <w:rFonts w:hint="eastAsia"/>
          <w:sz w:val="24"/>
          <w:szCs w:val="32"/>
        </w:rPr>
      </w:pPr>
      <w:r>
        <w:rPr>
          <w:rFonts w:hint="eastAsia"/>
          <w:sz w:val="24"/>
          <w:szCs w:val="32"/>
        </w:rPr>
        <w:t>6. 江苏省、淮安市公共资源交易数字化、国企内控管理制度。</w:t>
      </w:r>
    </w:p>
    <w:p w14:paraId="12B6D5D6">
      <w:pPr>
        <w:rPr>
          <w:rFonts w:hint="eastAsia"/>
          <w:sz w:val="24"/>
          <w:szCs w:val="32"/>
        </w:rPr>
      </w:pPr>
      <w:r>
        <w:rPr>
          <w:rFonts w:hint="eastAsia"/>
          <w:sz w:val="24"/>
          <w:szCs w:val="32"/>
        </w:rPr>
        <w:t>四、详细功能需求</w:t>
      </w:r>
    </w:p>
    <w:p w14:paraId="4C97E14B">
      <w:pPr>
        <w:rPr>
          <w:rFonts w:hint="eastAsia"/>
          <w:b/>
          <w:bCs/>
          <w:sz w:val="24"/>
          <w:szCs w:val="32"/>
        </w:rPr>
      </w:pPr>
      <w:r>
        <w:rPr>
          <w:rFonts w:hint="eastAsia"/>
          <w:b/>
          <w:bCs/>
          <w:sz w:val="24"/>
          <w:szCs w:val="32"/>
        </w:rPr>
        <w:t>4.1 采购单位CRM管理模块</w:t>
      </w:r>
    </w:p>
    <w:p w14:paraId="0BF1C250">
      <w:pPr>
        <w:rPr>
          <w:rFonts w:hint="eastAsia"/>
          <w:sz w:val="24"/>
          <w:szCs w:val="32"/>
        </w:rPr>
      </w:pPr>
      <w:r>
        <w:rPr>
          <w:rFonts w:hint="eastAsia"/>
          <w:sz w:val="24"/>
          <w:szCs w:val="32"/>
        </w:rPr>
        <w:t>1. 客户档案：登记机关、事业单位、国企采购单位信息，包含单位性质、年度预算、历史项目、履约评价、合作分级；</w:t>
      </w:r>
    </w:p>
    <w:p w14:paraId="601ABCDC">
      <w:pPr>
        <w:rPr>
          <w:rFonts w:hint="eastAsia"/>
          <w:sz w:val="24"/>
          <w:szCs w:val="32"/>
        </w:rPr>
      </w:pPr>
      <w:r>
        <w:rPr>
          <w:rFonts w:hint="eastAsia"/>
          <w:sz w:val="24"/>
          <w:szCs w:val="32"/>
        </w:rPr>
        <w:t>2. 联系人关系网络：维护经办人、分管领导、财务、决策人，完整留存沟通记录；</w:t>
      </w:r>
    </w:p>
    <w:p w14:paraId="4BFFE77E">
      <w:pPr>
        <w:rPr>
          <w:rFonts w:hint="eastAsia"/>
          <w:sz w:val="24"/>
          <w:szCs w:val="32"/>
        </w:rPr>
      </w:pPr>
      <w:r>
        <w:rPr>
          <w:rFonts w:hint="eastAsia"/>
          <w:sz w:val="24"/>
          <w:szCs w:val="32"/>
        </w:rPr>
        <w:t>3. 商机线索管理：采购意向、预估金额、招标时间、资金来源，区分对接阶段；</w:t>
      </w:r>
    </w:p>
    <w:p w14:paraId="63B6010E">
      <w:pPr>
        <w:rPr>
          <w:rFonts w:hint="eastAsia"/>
          <w:sz w:val="24"/>
          <w:szCs w:val="32"/>
        </w:rPr>
      </w:pPr>
      <w:r>
        <w:rPr>
          <w:rFonts w:hint="eastAsia"/>
          <w:sz w:val="24"/>
          <w:szCs w:val="32"/>
        </w:rPr>
        <w:t>4. 商机自动评分与跟进预警，长期未对接、招标节点临近弹窗提醒；</w:t>
      </w:r>
    </w:p>
    <w:p w14:paraId="7CDB37C1">
      <w:pPr>
        <w:rPr>
          <w:rFonts w:hint="eastAsia"/>
          <w:sz w:val="24"/>
          <w:szCs w:val="32"/>
        </w:rPr>
      </w:pPr>
      <w:r>
        <w:rPr>
          <w:rFonts w:hint="eastAsia"/>
          <w:sz w:val="24"/>
          <w:szCs w:val="32"/>
        </w:rPr>
        <w:t>5. 商机一键转招标立项，自动同步全部客户预算需求信息；</w:t>
      </w:r>
    </w:p>
    <w:p w14:paraId="0679B885">
      <w:pPr>
        <w:rPr>
          <w:rFonts w:hint="eastAsia"/>
          <w:sz w:val="24"/>
          <w:szCs w:val="32"/>
        </w:rPr>
      </w:pPr>
      <w:r>
        <w:rPr>
          <w:rFonts w:hint="eastAsia"/>
          <w:sz w:val="24"/>
          <w:szCs w:val="32"/>
        </w:rPr>
        <w:t>6. 代理合同、开票、服务费回款全流程管理；</w:t>
      </w:r>
    </w:p>
    <w:p w14:paraId="2D210E30">
      <w:pPr>
        <w:rPr>
          <w:rFonts w:hint="eastAsia"/>
          <w:sz w:val="24"/>
          <w:szCs w:val="32"/>
        </w:rPr>
      </w:pPr>
      <w:r>
        <w:rPr>
          <w:rFonts w:hint="eastAsia"/>
          <w:sz w:val="24"/>
          <w:szCs w:val="32"/>
        </w:rPr>
        <w:t>7. 分级权限隔离客户敏感信息，操作全程审计留痕导出。</w:t>
      </w:r>
    </w:p>
    <w:p w14:paraId="10A26E15">
      <w:pPr>
        <w:rPr>
          <w:rFonts w:hint="eastAsia"/>
          <w:b/>
          <w:bCs/>
          <w:sz w:val="24"/>
          <w:szCs w:val="32"/>
        </w:rPr>
      </w:pPr>
      <w:r>
        <w:rPr>
          <w:rFonts w:hint="eastAsia"/>
          <w:b/>
          <w:bCs/>
          <w:sz w:val="24"/>
          <w:szCs w:val="32"/>
        </w:rPr>
        <w:t>4.2 智能评标机器人</w:t>
      </w:r>
    </w:p>
    <w:p w14:paraId="64C26C59">
      <w:pPr>
        <w:rPr>
          <w:rFonts w:hint="eastAsia"/>
          <w:sz w:val="24"/>
          <w:szCs w:val="32"/>
        </w:rPr>
      </w:pPr>
      <w:r>
        <w:rPr>
          <w:rFonts w:hint="eastAsia"/>
          <w:sz w:val="24"/>
          <w:szCs w:val="32"/>
        </w:rPr>
        <w:t>覆盖项目委托、招标文件AI体检、专家抽取、数字化开标、全自动AI清标、辅助评审、打分监控、评标报告、质疑处置、电子档案全归档，适配货物、工程、服务政府采购项目。</w:t>
      </w:r>
    </w:p>
    <w:p w14:paraId="2F99427E">
      <w:pPr>
        <w:rPr>
          <w:rFonts w:hint="eastAsia"/>
          <w:sz w:val="24"/>
          <w:szCs w:val="32"/>
        </w:rPr>
      </w:pPr>
      <w:r>
        <w:rPr>
          <w:rFonts w:hint="eastAsia"/>
          <w:sz w:val="24"/>
          <w:szCs w:val="32"/>
        </w:rPr>
        <w:t>1. 项目总台账：全招标项目统一管理，多维度筛选、统计导出；</w:t>
      </w:r>
    </w:p>
    <w:p w14:paraId="3E2DA9B5">
      <w:pPr>
        <w:rPr>
          <w:rFonts w:hint="eastAsia"/>
          <w:sz w:val="24"/>
          <w:szCs w:val="32"/>
        </w:rPr>
      </w:pPr>
      <w:r>
        <w:rPr>
          <w:rFonts w:hint="eastAsia"/>
          <w:sz w:val="24"/>
          <w:szCs w:val="32"/>
        </w:rPr>
        <w:t>2. 全流程节点管控：委托、发文、答疑、开标、评审、公示、质疑、归档全节点时限预警、责任人绑定、全程可追溯；</w:t>
      </w:r>
    </w:p>
    <w:p w14:paraId="231E0CF2">
      <w:pPr>
        <w:rPr>
          <w:rFonts w:hint="eastAsia"/>
          <w:sz w:val="24"/>
          <w:szCs w:val="32"/>
        </w:rPr>
      </w:pPr>
      <w:r>
        <w:rPr>
          <w:rFonts w:hint="eastAsia"/>
          <w:sz w:val="24"/>
          <w:szCs w:val="32"/>
        </w:rPr>
        <w:t>3. 招标文件AI合规体检：Word/PDF/扫描件OCR解析，自动识别排他资质、不合理评分、垫资限制、违规条款，输出标准化整改报告；</w:t>
      </w:r>
    </w:p>
    <w:p w14:paraId="1B8E1DD2">
      <w:pPr>
        <w:rPr>
          <w:rFonts w:hint="eastAsia"/>
          <w:sz w:val="24"/>
          <w:szCs w:val="32"/>
        </w:rPr>
      </w:pPr>
      <w:r>
        <w:rPr>
          <w:rFonts w:hint="eastAsia"/>
          <w:sz w:val="24"/>
          <w:szCs w:val="32"/>
        </w:rPr>
        <w:t>4. 智能专家抽取：按行业、专业、回避规则自动匹配，校验关联回避，抽取日志存档；</w:t>
      </w:r>
    </w:p>
    <w:p w14:paraId="42A5892B">
      <w:pPr>
        <w:rPr>
          <w:rFonts w:hint="eastAsia"/>
          <w:sz w:val="24"/>
          <w:szCs w:val="32"/>
        </w:rPr>
      </w:pPr>
      <w:r>
        <w:rPr>
          <w:rFonts w:hint="eastAsia"/>
          <w:sz w:val="24"/>
          <w:szCs w:val="32"/>
        </w:rPr>
        <w:t>5. 数字化开标机器人：自动宣读纪律、批量解密标书，识别解密失败、报价缺失、未到场异常，自动生成开标记录表，音视频绑定项目归档；</w:t>
      </w:r>
    </w:p>
    <w:p w14:paraId="7206D6F9">
      <w:pPr>
        <w:rPr>
          <w:rFonts w:hint="eastAsia"/>
          <w:sz w:val="24"/>
          <w:szCs w:val="32"/>
        </w:rPr>
      </w:pPr>
      <w:r>
        <w:rPr>
          <w:rFonts w:hint="eastAsia"/>
          <w:sz w:val="24"/>
          <w:szCs w:val="32"/>
        </w:rPr>
        <w:t>6. 全自动AI智能清标</w:t>
      </w:r>
    </w:p>
    <w:p w14:paraId="089C91FB">
      <w:pPr>
        <w:rPr>
          <w:rFonts w:hint="eastAsia"/>
          <w:sz w:val="24"/>
          <w:szCs w:val="32"/>
        </w:rPr>
      </w:pPr>
      <w:r>
        <w:rPr>
          <w:rFonts w:hint="eastAsia"/>
          <w:sz w:val="24"/>
          <w:szCs w:val="32"/>
        </w:rPr>
        <w:t xml:space="preserve">    </w:t>
      </w:r>
      <w:r>
        <w:rPr>
          <w:rFonts w:hint="eastAsia"/>
          <w:sz w:val="24"/>
          <w:szCs w:val="32"/>
          <w:lang w:eastAsia="zh-CN"/>
        </w:rPr>
        <w:t>·</w:t>
      </w:r>
      <w:r>
        <w:rPr>
          <w:rFonts w:hint="eastAsia"/>
          <w:sz w:val="24"/>
          <w:szCs w:val="32"/>
        </w:rPr>
        <w:t>资格清标：批量核验营业执照、资质、业绩有效期，标记不合格供应商；</w:t>
      </w:r>
    </w:p>
    <w:p w14:paraId="3E02803F">
      <w:pPr>
        <w:rPr>
          <w:rFonts w:hint="eastAsia"/>
          <w:sz w:val="24"/>
          <w:szCs w:val="32"/>
        </w:rPr>
      </w:pPr>
      <w:r>
        <w:rPr>
          <w:rFonts w:hint="eastAsia"/>
          <w:sz w:val="24"/>
          <w:szCs w:val="32"/>
        </w:rPr>
        <w:t xml:space="preserve">    </w:t>
      </w:r>
      <w:r>
        <w:rPr>
          <w:rFonts w:hint="eastAsia"/>
          <w:sz w:val="24"/>
          <w:szCs w:val="32"/>
          <w:lang w:eastAsia="zh-CN"/>
        </w:rPr>
        <w:t>·</w:t>
      </w:r>
      <w:r>
        <w:rPr>
          <w:rFonts w:hint="eastAsia"/>
          <w:sz w:val="24"/>
          <w:szCs w:val="32"/>
        </w:rPr>
        <w:t>商务报价清标：自动核算分项总价，识别超限价、异常低价、不平衡报价；</w:t>
      </w:r>
    </w:p>
    <w:p w14:paraId="6243429C">
      <w:pPr>
        <w:rPr>
          <w:rFonts w:hint="eastAsia"/>
          <w:sz w:val="24"/>
          <w:szCs w:val="32"/>
        </w:rPr>
      </w:pPr>
      <w:r>
        <w:rPr>
          <w:rFonts w:hint="eastAsia"/>
          <w:sz w:val="24"/>
          <w:szCs w:val="32"/>
        </w:rPr>
        <w:t xml:space="preserve">    </w:t>
      </w:r>
      <w:r>
        <w:rPr>
          <w:rFonts w:hint="eastAsia"/>
          <w:sz w:val="24"/>
          <w:szCs w:val="32"/>
          <w:lang w:eastAsia="zh-CN"/>
        </w:rPr>
        <w:t>·</w:t>
      </w:r>
      <w:r>
        <w:rPr>
          <w:rFonts w:hint="eastAsia"/>
          <w:sz w:val="24"/>
          <w:szCs w:val="32"/>
        </w:rPr>
        <w:t>实质性条款比对：逐条核对★强制条款，标记偏离、废标风险；</w:t>
      </w:r>
    </w:p>
    <w:p w14:paraId="50516964">
      <w:pPr>
        <w:rPr>
          <w:rFonts w:hint="eastAsia"/>
          <w:sz w:val="24"/>
          <w:szCs w:val="32"/>
        </w:rPr>
      </w:pPr>
      <w:r>
        <w:rPr>
          <w:rFonts w:hint="eastAsia"/>
          <w:sz w:val="24"/>
          <w:szCs w:val="32"/>
        </w:rPr>
        <w:t xml:space="preserve">    </w:t>
      </w:r>
      <w:r>
        <w:rPr>
          <w:rFonts w:hint="eastAsia"/>
          <w:sz w:val="24"/>
          <w:szCs w:val="32"/>
          <w:lang w:eastAsia="zh-CN"/>
        </w:rPr>
        <w:t>·</w:t>
      </w:r>
      <w:r>
        <w:rPr>
          <w:rFonts w:hint="eastAsia"/>
          <w:sz w:val="24"/>
          <w:szCs w:val="32"/>
        </w:rPr>
        <w:t>标书雷同语义比对，输出疑似围串标预警线索；</w:t>
      </w:r>
    </w:p>
    <w:p w14:paraId="0BCC6967">
      <w:pPr>
        <w:rPr>
          <w:rFonts w:hint="eastAsia"/>
          <w:sz w:val="24"/>
          <w:szCs w:val="32"/>
        </w:rPr>
      </w:pPr>
      <w:r>
        <w:rPr>
          <w:rFonts w:hint="eastAsia"/>
          <w:sz w:val="24"/>
          <w:szCs w:val="32"/>
        </w:rPr>
        <w:t>7. 大模型辅助智能评审：客观项自动核算得分，技术方案对比热力图，监控评委极端打分预警；关联供应商历史投标图谱识别抱团投标；</w:t>
      </w:r>
    </w:p>
    <w:p w14:paraId="7635E32D">
      <w:pPr>
        <w:rPr>
          <w:rFonts w:hint="eastAsia"/>
          <w:sz w:val="24"/>
          <w:szCs w:val="32"/>
        </w:rPr>
      </w:pPr>
      <w:r>
        <w:rPr>
          <w:rFonts w:hint="eastAsia"/>
          <w:sz w:val="24"/>
          <w:szCs w:val="32"/>
        </w:rPr>
        <w:t>8. 分权限协同评审，批注、打分修改全留痕，多版本对比审计；</w:t>
      </w:r>
    </w:p>
    <w:p w14:paraId="058E16C8">
      <w:pPr>
        <w:rPr>
          <w:rFonts w:hint="eastAsia"/>
          <w:sz w:val="24"/>
          <w:szCs w:val="32"/>
        </w:rPr>
      </w:pPr>
      <w:r>
        <w:rPr>
          <w:rFonts w:hint="eastAsia"/>
          <w:sz w:val="24"/>
          <w:szCs w:val="32"/>
        </w:rPr>
        <w:t>9. 投标文件完整性自动校验，缺失附件统一预警；</w:t>
      </w:r>
    </w:p>
    <w:p w14:paraId="283F6C63">
      <w:pPr>
        <w:rPr>
          <w:rFonts w:hint="eastAsia"/>
          <w:sz w:val="24"/>
          <w:szCs w:val="32"/>
        </w:rPr>
      </w:pPr>
      <w:r>
        <w:rPr>
          <w:rFonts w:hint="eastAsia"/>
          <w:sz w:val="24"/>
          <w:szCs w:val="32"/>
        </w:rPr>
        <w:t>10. 多行业模板自动生成评标报告，支持人工复核导出归档；</w:t>
      </w:r>
    </w:p>
    <w:p w14:paraId="26A5747B">
      <w:pPr>
        <w:rPr>
          <w:rFonts w:hint="eastAsia"/>
          <w:sz w:val="24"/>
          <w:szCs w:val="32"/>
        </w:rPr>
      </w:pPr>
      <w:r>
        <w:rPr>
          <w:rFonts w:hint="eastAsia"/>
          <w:sz w:val="24"/>
          <w:szCs w:val="32"/>
        </w:rPr>
        <w:t>11. 质疑投诉联动处置：一键调取全套清标评审原始材料，AI生成答复参考素材；</w:t>
      </w:r>
    </w:p>
    <w:p w14:paraId="7E85E559">
      <w:pPr>
        <w:rPr>
          <w:rFonts w:hint="eastAsia"/>
          <w:sz w:val="24"/>
          <w:szCs w:val="32"/>
        </w:rPr>
      </w:pPr>
      <w:r>
        <w:rPr>
          <w:rFonts w:hint="eastAsia"/>
          <w:sz w:val="24"/>
          <w:szCs w:val="32"/>
        </w:rPr>
        <w:t>12. 项目档案自动归档至交易知识库，监管一键检索调阅。</w:t>
      </w:r>
    </w:p>
    <w:p w14:paraId="62E157BE">
      <w:pPr>
        <w:rPr>
          <w:rFonts w:hint="eastAsia"/>
          <w:b/>
          <w:bCs/>
          <w:sz w:val="24"/>
          <w:szCs w:val="32"/>
        </w:rPr>
      </w:pPr>
      <w:r>
        <w:rPr>
          <w:rFonts w:hint="eastAsia"/>
          <w:b/>
          <w:bCs/>
          <w:sz w:val="24"/>
          <w:szCs w:val="32"/>
        </w:rPr>
        <w:t>4.3 供应商报价与交易风险研判模块</w:t>
      </w:r>
    </w:p>
    <w:p w14:paraId="49E57C59">
      <w:pPr>
        <w:rPr>
          <w:rFonts w:hint="eastAsia"/>
          <w:sz w:val="24"/>
          <w:szCs w:val="32"/>
        </w:rPr>
      </w:pPr>
      <w:r>
        <w:rPr>
          <w:rFonts w:hint="eastAsia"/>
          <w:sz w:val="24"/>
          <w:szCs w:val="32"/>
        </w:rPr>
        <w:t>1. 历史报价数据库：归集各项目控制价、投标报价、中标价、下浮率、开标记录；</w:t>
      </w:r>
    </w:p>
    <w:p w14:paraId="2068EB9F">
      <w:pPr>
        <w:rPr>
          <w:rFonts w:hint="eastAsia"/>
          <w:sz w:val="24"/>
          <w:szCs w:val="32"/>
        </w:rPr>
      </w:pPr>
      <w:r>
        <w:rPr>
          <w:rFonts w:hint="eastAsia"/>
          <w:sz w:val="24"/>
          <w:szCs w:val="32"/>
        </w:rPr>
        <w:t>2. 同类项目行情自动匹配，输出合理报价区间；</w:t>
      </w:r>
    </w:p>
    <w:p w14:paraId="7FD28D46">
      <w:pPr>
        <w:rPr>
          <w:rFonts w:hint="eastAsia"/>
          <w:sz w:val="24"/>
          <w:szCs w:val="32"/>
        </w:rPr>
      </w:pPr>
      <w:r>
        <w:rPr>
          <w:rFonts w:hint="eastAsia"/>
          <w:sz w:val="24"/>
          <w:szCs w:val="32"/>
        </w:rPr>
        <w:t>3. 识别超高/异常低价、多家报价趋同等围串标线索；</w:t>
      </w:r>
    </w:p>
    <w:p w14:paraId="648DFC59">
      <w:pPr>
        <w:rPr>
          <w:rFonts w:hint="eastAsia"/>
          <w:sz w:val="24"/>
          <w:szCs w:val="32"/>
        </w:rPr>
      </w:pPr>
      <w:r>
        <w:rPr>
          <w:rFonts w:hint="eastAsia"/>
          <w:sz w:val="24"/>
          <w:szCs w:val="32"/>
        </w:rPr>
        <w:t>4. 供应商数字画像：沉淀投标、中标、失信、投诉、报价习惯全维度数据；</w:t>
      </w:r>
    </w:p>
    <w:p w14:paraId="326A96F7">
      <w:pPr>
        <w:rPr>
          <w:rFonts w:hint="eastAsia"/>
          <w:sz w:val="24"/>
          <w:szCs w:val="32"/>
        </w:rPr>
      </w:pPr>
      <w:r>
        <w:rPr>
          <w:rFonts w:hint="eastAsia"/>
          <w:sz w:val="24"/>
          <w:szCs w:val="32"/>
        </w:rPr>
        <w:t>5. 项目复盘案例库，归档报价偏差、竞争态势、风险案例。</w:t>
      </w:r>
    </w:p>
    <w:p w14:paraId="652DFA32">
      <w:pPr>
        <w:rPr>
          <w:rFonts w:hint="eastAsia"/>
          <w:b/>
          <w:bCs/>
          <w:sz w:val="24"/>
          <w:szCs w:val="32"/>
        </w:rPr>
      </w:pPr>
      <w:r>
        <w:rPr>
          <w:rFonts w:hint="eastAsia"/>
          <w:b/>
          <w:bCs/>
          <w:sz w:val="24"/>
          <w:szCs w:val="32"/>
        </w:rPr>
        <w:t>4.4 代理经营分析驾驶舱模块</w:t>
      </w:r>
    </w:p>
    <w:p w14:paraId="58137B27">
      <w:pPr>
        <w:rPr>
          <w:rFonts w:hint="eastAsia"/>
          <w:sz w:val="24"/>
          <w:szCs w:val="32"/>
        </w:rPr>
      </w:pPr>
      <w:r>
        <w:rPr>
          <w:rFonts w:hint="eastAsia"/>
          <w:sz w:val="24"/>
          <w:szCs w:val="32"/>
        </w:rPr>
        <w:t>1. 总经营看板：年度项目总量、代理服务费、新增客户、质疑投诉、中标统计；</w:t>
      </w:r>
    </w:p>
    <w:p w14:paraId="25F83DEB">
      <w:pPr>
        <w:rPr>
          <w:rFonts w:hint="eastAsia"/>
          <w:sz w:val="24"/>
          <w:szCs w:val="32"/>
        </w:rPr>
      </w:pPr>
      <w:r>
        <w:rPr>
          <w:rFonts w:hint="eastAsia"/>
          <w:sz w:val="24"/>
          <w:szCs w:val="32"/>
        </w:rPr>
        <w:t>2. 多维度拆分：区域、采购单位、工程/货物/服务分类统计业务规模、投诉率；</w:t>
      </w:r>
    </w:p>
    <w:p w14:paraId="3CE20FAB">
      <w:pPr>
        <w:rPr>
          <w:rFonts w:hint="eastAsia"/>
          <w:sz w:val="24"/>
          <w:szCs w:val="32"/>
        </w:rPr>
      </w:pPr>
      <w:r>
        <w:rPr>
          <w:rFonts w:hint="eastAsia"/>
          <w:sz w:val="24"/>
          <w:szCs w:val="32"/>
        </w:rPr>
        <w:t>3. 风险统计：招标文件违规点、异常报价、标书雷同、投诉原因分类分析；</w:t>
      </w:r>
    </w:p>
    <w:p w14:paraId="1B084420">
      <w:pPr>
        <w:rPr>
          <w:rFonts w:hint="eastAsia"/>
          <w:sz w:val="24"/>
          <w:szCs w:val="32"/>
        </w:rPr>
      </w:pPr>
      <w:r>
        <w:rPr>
          <w:rFonts w:hint="eastAsia"/>
          <w:sz w:val="24"/>
          <w:szCs w:val="32"/>
        </w:rPr>
        <w:t>4. 本地同行竞争对手项目、收费区间、优势行业归集分析；</w:t>
      </w:r>
    </w:p>
    <w:p w14:paraId="12FF76BA">
      <w:pPr>
        <w:rPr>
          <w:rFonts w:hint="eastAsia"/>
          <w:sz w:val="24"/>
          <w:szCs w:val="32"/>
        </w:rPr>
      </w:pPr>
      <w:r>
        <w:rPr>
          <w:rFonts w:hint="eastAsia"/>
          <w:sz w:val="24"/>
          <w:szCs w:val="32"/>
        </w:rPr>
        <w:t>5. 自动生成周/月/年度经营复盘报告，图表导出、数据下钻；</w:t>
      </w:r>
    </w:p>
    <w:p w14:paraId="2CB19393">
      <w:pPr>
        <w:rPr>
          <w:rFonts w:hint="eastAsia"/>
          <w:sz w:val="24"/>
          <w:szCs w:val="32"/>
        </w:rPr>
      </w:pPr>
      <w:r>
        <w:rPr>
          <w:rFonts w:hint="eastAsia"/>
          <w:sz w:val="24"/>
          <w:szCs w:val="32"/>
        </w:rPr>
        <w:t>6. 分级数据权限：管理层查看全量数据，业务人员仅可见自有项目。</w:t>
      </w:r>
    </w:p>
    <w:p w14:paraId="2B1F084B">
      <w:pPr>
        <w:rPr>
          <w:rFonts w:hint="eastAsia"/>
          <w:b/>
          <w:bCs/>
          <w:sz w:val="24"/>
          <w:szCs w:val="32"/>
        </w:rPr>
      </w:pPr>
      <w:r>
        <w:rPr>
          <w:rFonts w:hint="eastAsia"/>
          <w:b/>
          <w:bCs/>
          <w:sz w:val="24"/>
          <w:szCs w:val="32"/>
        </w:rPr>
        <w:t>4.5 公共资源交易智能知识库模块</w:t>
      </w:r>
    </w:p>
    <w:p w14:paraId="177CD3AA">
      <w:pPr>
        <w:rPr>
          <w:rFonts w:hint="eastAsia"/>
          <w:sz w:val="24"/>
          <w:szCs w:val="32"/>
        </w:rPr>
      </w:pPr>
      <w:r>
        <w:rPr>
          <w:rFonts w:hint="eastAsia"/>
          <w:sz w:val="24"/>
          <w:szCs w:val="32"/>
        </w:rPr>
        <w:t>OCR解析、标签管理、全文+语义检索、分级密级权限、文件水印、操作审计：</w:t>
      </w:r>
    </w:p>
    <w:p w14:paraId="7A3EAC9B">
      <w:pPr>
        <w:rPr>
          <w:rFonts w:hint="eastAsia"/>
          <w:sz w:val="24"/>
          <w:szCs w:val="32"/>
        </w:rPr>
      </w:pPr>
      <w:r>
        <w:rPr>
          <w:rFonts w:hint="eastAsia"/>
          <w:sz w:val="24"/>
          <w:szCs w:val="32"/>
        </w:rPr>
        <w:t>法规库、招标范本库、项目完整档案库、供应商信用库、造价参考库、内部制度库；</w:t>
      </w:r>
    </w:p>
    <w:p w14:paraId="0B9601E8">
      <w:pPr>
        <w:rPr>
          <w:rFonts w:hint="eastAsia"/>
          <w:sz w:val="24"/>
          <w:szCs w:val="32"/>
        </w:rPr>
      </w:pPr>
      <w:r>
        <w:rPr>
          <w:rFonts w:hint="eastAsia"/>
          <w:sz w:val="24"/>
          <w:szCs w:val="32"/>
        </w:rPr>
        <w:t>标书编制时一键引用素材，资质证书到期自动提醒。</w:t>
      </w:r>
    </w:p>
    <w:p w14:paraId="362DDCDB">
      <w:pPr>
        <w:rPr>
          <w:rFonts w:hint="eastAsia"/>
          <w:b/>
          <w:bCs/>
          <w:sz w:val="24"/>
          <w:szCs w:val="32"/>
        </w:rPr>
      </w:pPr>
      <w:r>
        <w:rPr>
          <w:rFonts w:hint="eastAsia"/>
          <w:b/>
          <w:bCs/>
          <w:sz w:val="24"/>
          <w:szCs w:val="32"/>
        </w:rPr>
        <w:t>4.6 智能问数模块</w:t>
      </w:r>
    </w:p>
    <w:p w14:paraId="1ABA6A7E">
      <w:pPr>
        <w:rPr>
          <w:rFonts w:hint="eastAsia"/>
          <w:sz w:val="24"/>
          <w:szCs w:val="32"/>
        </w:rPr>
      </w:pPr>
      <w:r>
        <w:rPr>
          <w:rFonts w:hint="eastAsia"/>
          <w:sz w:val="24"/>
          <w:szCs w:val="32"/>
        </w:rPr>
        <w:t>1. 自然语言查询全量交易经营结构化数据，示例：本年度机关单位委托项目、近三年工程平均下浮率；</w:t>
      </w:r>
    </w:p>
    <w:p w14:paraId="0FC97CED">
      <w:pPr>
        <w:rPr>
          <w:rFonts w:hint="eastAsia"/>
          <w:sz w:val="24"/>
          <w:szCs w:val="32"/>
        </w:rPr>
      </w:pPr>
      <w:r>
        <w:rPr>
          <w:rFonts w:hint="eastAsia"/>
          <w:sz w:val="24"/>
          <w:szCs w:val="32"/>
        </w:rPr>
        <w:t>2. 统一指标口径，查询结果标注数据来源；</w:t>
      </w:r>
    </w:p>
    <w:p w14:paraId="2B9C6C68">
      <w:pPr>
        <w:rPr>
          <w:rFonts w:hint="eastAsia"/>
          <w:sz w:val="24"/>
          <w:szCs w:val="32"/>
        </w:rPr>
      </w:pPr>
      <w:r>
        <w:rPr>
          <w:rFonts w:hint="eastAsia"/>
          <w:sz w:val="24"/>
          <w:szCs w:val="32"/>
        </w:rPr>
        <w:t>3. 自动生成柱状、折线、饼图，支持Excel/PDF导出；</w:t>
      </w:r>
    </w:p>
    <w:p w14:paraId="70746268">
      <w:pPr>
        <w:rPr>
          <w:rFonts w:hint="eastAsia"/>
          <w:sz w:val="24"/>
          <w:szCs w:val="32"/>
        </w:rPr>
      </w:pPr>
      <w:r>
        <w:rPr>
          <w:rFonts w:hint="eastAsia"/>
          <w:sz w:val="24"/>
          <w:szCs w:val="32"/>
        </w:rPr>
        <w:t>4. 数据权限过滤，无权限敏感数据不可查询；</w:t>
      </w:r>
    </w:p>
    <w:p w14:paraId="3D3B011D">
      <w:pPr>
        <w:rPr>
          <w:rFonts w:hint="eastAsia"/>
          <w:sz w:val="24"/>
          <w:szCs w:val="32"/>
        </w:rPr>
      </w:pPr>
      <w:r>
        <w:rPr>
          <w:rFonts w:hint="eastAsia"/>
          <w:sz w:val="24"/>
          <w:szCs w:val="32"/>
        </w:rPr>
        <w:t>5. 高频查询模板保存，多轮追问，所有查询记录审计存档。</w:t>
      </w:r>
    </w:p>
    <w:p w14:paraId="5561BAE2">
      <w:pPr>
        <w:rPr>
          <w:rFonts w:hint="eastAsia"/>
          <w:b/>
          <w:bCs/>
          <w:sz w:val="24"/>
          <w:szCs w:val="32"/>
        </w:rPr>
      </w:pPr>
      <w:r>
        <w:rPr>
          <w:rFonts w:hint="eastAsia"/>
          <w:b/>
          <w:bCs/>
          <w:sz w:val="24"/>
          <w:szCs w:val="32"/>
        </w:rPr>
        <w:t>4.7 交易智能问答模块</w:t>
      </w:r>
    </w:p>
    <w:p w14:paraId="693A5B95">
      <w:pPr>
        <w:rPr>
          <w:rFonts w:hint="eastAsia"/>
          <w:sz w:val="24"/>
          <w:szCs w:val="32"/>
        </w:rPr>
      </w:pPr>
      <w:r>
        <w:rPr>
          <w:rFonts w:hint="eastAsia"/>
          <w:sz w:val="24"/>
          <w:szCs w:val="32"/>
        </w:rPr>
        <w:t>1. 业务问答：采购政策、招标文件编制、清标评标、废标判定、质疑答复、资质审核规则；</w:t>
      </w:r>
    </w:p>
    <w:p w14:paraId="6F211EFA">
      <w:pPr>
        <w:rPr>
          <w:rFonts w:hint="eastAsia"/>
          <w:sz w:val="24"/>
          <w:szCs w:val="32"/>
        </w:rPr>
      </w:pPr>
      <w:r>
        <w:rPr>
          <w:rFonts w:hint="eastAsia"/>
          <w:sz w:val="24"/>
          <w:szCs w:val="32"/>
        </w:rPr>
        <w:t>2. 文档问答：上传政策/标书提问，答案溯源原文页码段落；</w:t>
      </w:r>
    </w:p>
    <w:p w14:paraId="544EC8B0">
      <w:pPr>
        <w:rPr>
          <w:rFonts w:hint="eastAsia"/>
          <w:sz w:val="24"/>
          <w:szCs w:val="32"/>
        </w:rPr>
      </w:pPr>
      <w:r>
        <w:rPr>
          <w:rFonts w:hint="eastAsia"/>
          <w:sz w:val="24"/>
          <w:szCs w:val="32"/>
        </w:rPr>
        <w:t>3. 自动推送同类范本、历史处置案例；</w:t>
      </w:r>
    </w:p>
    <w:p w14:paraId="5923220B">
      <w:pPr>
        <w:rPr>
          <w:rFonts w:hint="eastAsia"/>
          <w:sz w:val="24"/>
          <w:szCs w:val="32"/>
        </w:rPr>
      </w:pPr>
      <w:r>
        <w:rPr>
          <w:rFonts w:hint="eastAsia"/>
          <w:sz w:val="24"/>
          <w:szCs w:val="32"/>
        </w:rPr>
        <w:t>4. 用户反馈优化知识库，高频问题沉淀标准FAQ；</w:t>
      </w:r>
    </w:p>
    <w:p w14:paraId="24E0289A">
      <w:pPr>
        <w:rPr>
          <w:rFonts w:hint="eastAsia"/>
          <w:sz w:val="24"/>
          <w:szCs w:val="32"/>
        </w:rPr>
      </w:pPr>
      <w:r>
        <w:rPr>
          <w:rFonts w:hint="eastAsia"/>
          <w:sz w:val="24"/>
          <w:szCs w:val="32"/>
        </w:rPr>
        <w:t>5. 涉密数据隔离，不对外输出敏感交易信息。</w:t>
      </w:r>
    </w:p>
    <w:p w14:paraId="1AC6E639">
      <w:pPr>
        <w:rPr>
          <w:rFonts w:hint="eastAsia"/>
          <w:sz w:val="24"/>
          <w:szCs w:val="32"/>
        </w:rPr>
      </w:pPr>
    </w:p>
    <w:p w14:paraId="366D80DF">
      <w:pPr>
        <w:rPr>
          <w:rFonts w:hint="eastAsia"/>
          <w:b/>
          <w:bCs/>
          <w:sz w:val="24"/>
          <w:szCs w:val="32"/>
        </w:rPr>
      </w:pPr>
      <w:r>
        <w:rPr>
          <w:rFonts w:hint="eastAsia"/>
          <w:b/>
          <w:bCs/>
          <w:sz w:val="24"/>
          <w:szCs w:val="32"/>
        </w:rPr>
        <w:t>4.8 AI办公配套三大模块</w:t>
      </w:r>
    </w:p>
    <w:p w14:paraId="669C0058">
      <w:pPr>
        <w:rPr>
          <w:rFonts w:hint="eastAsia"/>
          <w:sz w:val="24"/>
          <w:szCs w:val="32"/>
        </w:rPr>
      </w:pPr>
      <w:r>
        <w:rPr>
          <w:rFonts w:hint="eastAsia"/>
          <w:sz w:val="24"/>
          <w:szCs w:val="32"/>
        </w:rPr>
        <w:t>模块1：智能文本校对模块</w:t>
      </w:r>
    </w:p>
    <w:p w14:paraId="0CC4DB9A">
      <w:pPr>
        <w:rPr>
          <w:rFonts w:hint="eastAsia"/>
          <w:sz w:val="24"/>
          <w:szCs w:val="32"/>
        </w:rPr>
      </w:pPr>
      <w:r>
        <w:rPr>
          <w:rFonts w:hint="eastAsia"/>
          <w:sz w:val="24"/>
          <w:szCs w:val="32"/>
        </w:rPr>
        <w:t>适用：招标请示、监管汇报、党建纪检、代理合同、对外公文</w:t>
      </w:r>
    </w:p>
    <w:p w14:paraId="0F752974">
      <w:pPr>
        <w:rPr>
          <w:rFonts w:hint="eastAsia"/>
          <w:sz w:val="24"/>
          <w:szCs w:val="32"/>
        </w:rPr>
      </w:pPr>
      <w:r>
        <w:rPr>
          <w:rFonts w:hint="eastAsia"/>
          <w:sz w:val="24"/>
          <w:szCs w:val="32"/>
        </w:rPr>
        <w:t>1. 多层级校对硬性指标：文字错误识别F1≥85%；党政公文格式15类校验；政治禁用词、职务规范错误F1≥95%；法规行业术语差错F1≥85%；</w:t>
      </w:r>
    </w:p>
    <w:p w14:paraId="183D811F">
      <w:pPr>
        <w:rPr>
          <w:rFonts w:hint="eastAsia"/>
          <w:sz w:val="24"/>
          <w:szCs w:val="32"/>
        </w:rPr>
      </w:pPr>
      <w:r>
        <w:rPr>
          <w:rFonts w:hint="eastAsia"/>
          <w:sz w:val="24"/>
          <w:szCs w:val="32"/>
        </w:rPr>
        <w:t>2. 四级分级词库（集团/国采总部/部门/项目），上级词库优先级更高，支持Excel批量导入导出；</w:t>
      </w:r>
    </w:p>
    <w:p w14:paraId="029B31B1">
      <w:pPr>
        <w:rPr>
          <w:rFonts w:hint="eastAsia"/>
          <w:sz w:val="24"/>
          <w:szCs w:val="32"/>
        </w:rPr>
      </w:pPr>
      <w:r>
        <w:rPr>
          <w:rFonts w:hint="eastAsia"/>
          <w:sz w:val="24"/>
          <w:szCs w:val="32"/>
        </w:rPr>
        <w:t>3. PDF/Word/TXT批量提取术语，政策季度更新、重大政策3个工作日迭代模型；</w:t>
      </w:r>
    </w:p>
    <w:p w14:paraId="173C01FE">
      <w:pPr>
        <w:rPr>
          <w:rFonts w:hint="eastAsia"/>
          <w:sz w:val="24"/>
          <w:szCs w:val="32"/>
        </w:rPr>
      </w:pPr>
      <w:r>
        <w:rPr>
          <w:rFonts w:hint="eastAsia"/>
          <w:sz w:val="24"/>
          <w:szCs w:val="32"/>
        </w:rPr>
        <w:t>4. 可嵌入OA审批流程，标准化API对接，校对日志永久审计，批量导出错误明细。</w:t>
      </w:r>
    </w:p>
    <w:p w14:paraId="4565A697">
      <w:pPr>
        <w:rPr>
          <w:rFonts w:hint="eastAsia"/>
          <w:sz w:val="24"/>
          <w:szCs w:val="32"/>
        </w:rPr>
      </w:pPr>
      <w:r>
        <w:rPr>
          <w:rFonts w:hint="eastAsia"/>
          <w:sz w:val="24"/>
          <w:szCs w:val="32"/>
        </w:rPr>
        <w:t>模块2：智慧会议模块</w:t>
      </w:r>
    </w:p>
    <w:p w14:paraId="088893FA">
      <w:pPr>
        <w:rPr>
          <w:rFonts w:hint="eastAsia"/>
          <w:sz w:val="24"/>
          <w:szCs w:val="32"/>
        </w:rPr>
      </w:pPr>
      <w:r>
        <w:rPr>
          <w:rFonts w:hint="eastAsia"/>
          <w:sz w:val="24"/>
          <w:szCs w:val="32"/>
        </w:rPr>
        <w:t>适配标书评审会、开标复盘、三会一课、经营例会</w:t>
      </w:r>
    </w:p>
    <w:p w14:paraId="5A4A5B44">
      <w:pPr>
        <w:rPr>
          <w:rFonts w:hint="eastAsia"/>
          <w:sz w:val="24"/>
          <w:szCs w:val="32"/>
        </w:rPr>
      </w:pPr>
      <w:r>
        <w:rPr>
          <w:rFonts w:hint="eastAsia"/>
          <w:sz w:val="24"/>
          <w:szCs w:val="32"/>
        </w:rPr>
        <w:t>1. 国产离线语音引擎，安静环境识别率≥97%，区分发言人，支持政府采购专业词汇、中英混读；</w:t>
      </w:r>
    </w:p>
    <w:p w14:paraId="3C5E2670">
      <w:pPr>
        <w:rPr>
          <w:rFonts w:hint="eastAsia"/>
          <w:sz w:val="24"/>
          <w:szCs w:val="32"/>
        </w:rPr>
      </w:pPr>
      <w:r>
        <w:rPr>
          <w:rFonts w:hint="eastAsia"/>
          <w:sz w:val="24"/>
          <w:szCs w:val="32"/>
        </w:rPr>
        <w:t>2. mp3/wav音频批量转写，音文精准对应；</w:t>
      </w:r>
    </w:p>
    <w:p w14:paraId="27F54CE4">
      <w:pPr>
        <w:rPr>
          <w:rFonts w:hint="eastAsia"/>
          <w:sz w:val="24"/>
          <w:szCs w:val="32"/>
        </w:rPr>
      </w:pPr>
      <w:r>
        <w:rPr>
          <w:rFonts w:hint="eastAsia"/>
          <w:sz w:val="24"/>
          <w:szCs w:val="32"/>
        </w:rPr>
        <w:t>3. 导入招标方案、预算表OCR并入会议记录；</w:t>
      </w:r>
    </w:p>
    <w:p w14:paraId="683B3E92">
      <w:pPr>
        <w:rPr>
          <w:rFonts w:hint="eastAsia"/>
          <w:sz w:val="24"/>
          <w:szCs w:val="32"/>
        </w:rPr>
      </w:pPr>
      <w:r>
        <w:rPr>
          <w:rFonts w:hint="eastAsia"/>
          <w:sz w:val="24"/>
          <w:szCs w:val="32"/>
        </w:rPr>
        <w:t>4. AI自动提炼会议结论、风险事项、待办任务，纪要原文相似度≥90%，支持思维导图导出；</w:t>
      </w:r>
    </w:p>
    <w:p w14:paraId="2051CBF2">
      <w:pPr>
        <w:rPr>
          <w:rFonts w:hint="eastAsia"/>
          <w:sz w:val="24"/>
          <w:szCs w:val="32"/>
        </w:rPr>
      </w:pPr>
      <w:r>
        <w:rPr>
          <w:rFonts w:hint="eastAsia"/>
          <w:sz w:val="24"/>
          <w:szCs w:val="32"/>
        </w:rPr>
        <w:t>5. 对接OA会议通知，PC/移动端同步，录音纪要分级密级管控。</w:t>
      </w:r>
    </w:p>
    <w:p w14:paraId="088929D4">
      <w:pPr>
        <w:rPr>
          <w:rFonts w:hint="eastAsia"/>
          <w:sz w:val="24"/>
          <w:szCs w:val="32"/>
        </w:rPr>
      </w:pPr>
      <w:r>
        <w:rPr>
          <w:rFonts w:hint="eastAsia"/>
          <w:sz w:val="24"/>
          <w:szCs w:val="32"/>
        </w:rPr>
        <w:t>模块3：智能报告生成模块</w:t>
      </w:r>
    </w:p>
    <w:p w14:paraId="3B51D17E">
      <w:pPr>
        <w:rPr>
          <w:rFonts w:hint="eastAsia"/>
          <w:sz w:val="24"/>
          <w:szCs w:val="32"/>
        </w:rPr>
      </w:pPr>
      <w:r>
        <w:rPr>
          <w:rFonts w:hint="eastAsia"/>
          <w:sz w:val="24"/>
          <w:szCs w:val="32"/>
        </w:rPr>
        <w:t>适用月度简报、质疑复盘、监管报送、年度总结、风险排查专报</w:t>
      </w:r>
    </w:p>
    <w:p w14:paraId="0EB40CCA">
      <w:pPr>
        <w:rPr>
          <w:rFonts w:hint="eastAsia"/>
          <w:sz w:val="24"/>
          <w:szCs w:val="32"/>
        </w:rPr>
      </w:pPr>
      <w:r>
        <w:rPr>
          <w:rFonts w:hint="eastAsia"/>
          <w:sz w:val="24"/>
          <w:szCs w:val="32"/>
        </w:rPr>
        <w:t>1. 自动对接经营驾驶舱，抓取项目、服务费、投诉、报价全量指标；</w:t>
      </w:r>
    </w:p>
    <w:p w14:paraId="7F7A9A6B">
      <w:pPr>
        <w:rPr>
          <w:rFonts w:hint="eastAsia"/>
          <w:sz w:val="24"/>
          <w:szCs w:val="32"/>
        </w:rPr>
      </w:pPr>
      <w:r>
        <w:rPr>
          <w:rFonts w:hint="eastAsia"/>
          <w:sz w:val="24"/>
          <w:szCs w:val="32"/>
        </w:rPr>
        <w:t>2. 支持范本仿写、润色、摘要、差异对比；</w:t>
      </w:r>
    </w:p>
    <w:p w14:paraId="4003AF85">
      <w:pPr>
        <w:rPr>
          <w:rFonts w:hint="eastAsia"/>
          <w:sz w:val="24"/>
          <w:szCs w:val="32"/>
        </w:rPr>
      </w:pPr>
      <w:r>
        <w:rPr>
          <w:rFonts w:hint="eastAsia"/>
          <w:sz w:val="24"/>
          <w:szCs w:val="32"/>
        </w:rPr>
        <w:t>3. 内置标准化报告模板，自动填充图表文字；</w:t>
      </w:r>
    </w:p>
    <w:p w14:paraId="4E7097BF">
      <w:pPr>
        <w:rPr>
          <w:rFonts w:hint="eastAsia"/>
          <w:sz w:val="24"/>
          <w:szCs w:val="32"/>
        </w:rPr>
      </w:pPr>
      <w:r>
        <w:rPr>
          <w:rFonts w:hint="eastAsia"/>
          <w:sz w:val="24"/>
          <w:szCs w:val="32"/>
        </w:rPr>
        <w:t>4. 导出docx/pdf/ppt；统一SSO单点登录，一处登出全系统下线。</w:t>
      </w:r>
    </w:p>
    <w:p w14:paraId="38CD9C7F">
      <w:pPr>
        <w:rPr>
          <w:rFonts w:hint="eastAsia"/>
          <w:b/>
          <w:bCs/>
          <w:sz w:val="24"/>
          <w:szCs w:val="32"/>
        </w:rPr>
      </w:pPr>
      <w:r>
        <w:rPr>
          <w:rFonts w:hint="eastAsia"/>
          <w:b/>
          <w:bCs/>
          <w:sz w:val="24"/>
          <w:szCs w:val="32"/>
        </w:rPr>
        <w:t>4.9 私有化大模型底座通用功能</w:t>
      </w:r>
    </w:p>
    <w:p w14:paraId="28A5D360">
      <w:pPr>
        <w:rPr>
          <w:rFonts w:hint="eastAsia"/>
          <w:sz w:val="24"/>
          <w:szCs w:val="32"/>
        </w:rPr>
      </w:pPr>
      <w:r>
        <w:rPr>
          <w:rFonts w:hint="eastAsia"/>
          <w:sz w:val="24"/>
          <w:szCs w:val="32"/>
        </w:rPr>
        <w:t>1. 全本地化内网部署，模型推理、向量库、数据库、文件存储不出域；</w:t>
      </w:r>
    </w:p>
    <w:p w14:paraId="655E177C">
      <w:pPr>
        <w:rPr>
          <w:rFonts w:hint="eastAsia"/>
          <w:sz w:val="24"/>
          <w:szCs w:val="32"/>
        </w:rPr>
      </w:pPr>
      <w:r>
        <w:rPr>
          <w:rFonts w:hint="eastAsia"/>
          <w:sz w:val="24"/>
          <w:szCs w:val="32"/>
        </w:rPr>
        <w:t>2. 全栈信创适配国产服务器、操作系统、数据库、中间件、浏览器；</w:t>
      </w:r>
    </w:p>
    <w:p w14:paraId="13227908">
      <w:pPr>
        <w:rPr>
          <w:rFonts w:hint="eastAsia"/>
          <w:sz w:val="24"/>
          <w:szCs w:val="32"/>
        </w:rPr>
      </w:pPr>
      <w:r>
        <w:rPr>
          <w:rFonts w:hint="eastAsia"/>
          <w:sz w:val="24"/>
          <w:szCs w:val="32"/>
        </w:rPr>
        <w:t>3. 标准化集成API对接OA、财务、统一身份、WPS移动端，95%接口响应≤500ms；</w:t>
      </w:r>
    </w:p>
    <w:p w14:paraId="46411885">
      <w:pPr>
        <w:rPr>
          <w:rFonts w:hint="eastAsia"/>
          <w:sz w:val="24"/>
          <w:szCs w:val="32"/>
        </w:rPr>
      </w:pPr>
      <w:r>
        <w:rPr>
          <w:rFonts w:hint="eastAsia"/>
          <w:sz w:val="24"/>
          <w:szCs w:val="32"/>
        </w:rPr>
        <w:t>4. 五级权限管控：菜单、功能、业务数据、文件密级、模型调用权限；</w:t>
      </w:r>
    </w:p>
    <w:p w14:paraId="02302980">
      <w:pPr>
        <w:rPr>
          <w:rFonts w:hint="eastAsia"/>
          <w:sz w:val="24"/>
          <w:szCs w:val="32"/>
        </w:rPr>
      </w:pPr>
      <w:r>
        <w:rPr>
          <w:rFonts w:hint="eastAsia"/>
          <w:sz w:val="24"/>
          <w:szCs w:val="32"/>
        </w:rPr>
        <w:t>5. 安全管控：全操作日志审计、敏感数据脱敏、文件水印、传输存储加密、接口白名单、防注入攻击；</w:t>
      </w:r>
    </w:p>
    <w:p w14:paraId="6FCEC4C7">
      <w:pPr>
        <w:rPr>
          <w:rFonts w:hint="eastAsia"/>
          <w:sz w:val="24"/>
          <w:szCs w:val="32"/>
        </w:rPr>
      </w:pPr>
      <w:r>
        <w:rPr>
          <w:rFonts w:hint="eastAsia"/>
          <w:sz w:val="24"/>
          <w:szCs w:val="32"/>
        </w:rPr>
        <w:t>6. 运维监控：全服务运行告警、自动定期备份、备份恢复验证、故障短信预警；</w:t>
      </w:r>
    </w:p>
    <w:p w14:paraId="7C05607F">
      <w:pPr>
        <w:rPr>
          <w:rFonts w:hint="eastAsia"/>
          <w:sz w:val="24"/>
          <w:szCs w:val="32"/>
        </w:rPr>
      </w:pPr>
      <w:r>
        <w:rPr>
          <w:rFonts w:hint="eastAsia"/>
          <w:sz w:val="24"/>
          <w:szCs w:val="32"/>
        </w:rPr>
        <w:t>7. 模型自主管理：本地提示词配置、向量库独立运维、支持版本迭代，无厂商锁定；</w:t>
      </w:r>
    </w:p>
    <w:p w14:paraId="0134134D">
      <w:pPr>
        <w:rPr>
          <w:rFonts w:hint="eastAsia"/>
          <w:sz w:val="24"/>
          <w:szCs w:val="32"/>
        </w:rPr>
      </w:pPr>
      <w:r>
        <w:rPr>
          <w:rFonts w:hint="eastAsia"/>
          <w:sz w:val="24"/>
          <w:szCs w:val="32"/>
        </w:rPr>
        <w:t>8. AI全部输出内容支持人工复核，结果可溯源原始业务资料。</w:t>
      </w:r>
    </w:p>
    <w:p w14:paraId="73B5E1D3">
      <w:pPr>
        <w:rPr>
          <w:rFonts w:hint="eastAsia"/>
          <w:sz w:val="24"/>
          <w:szCs w:val="32"/>
        </w:rPr>
      </w:pPr>
      <w:r>
        <w:rPr>
          <w:rFonts w:hint="eastAsia"/>
          <w:sz w:val="24"/>
          <w:szCs w:val="32"/>
        </w:rPr>
        <w:t>五、</w:t>
      </w:r>
      <w:r>
        <w:rPr>
          <w:rFonts w:hint="eastAsia"/>
          <w:sz w:val="24"/>
          <w:szCs w:val="32"/>
          <w:lang w:eastAsia="zh-CN"/>
        </w:rPr>
        <w:t>其他</w:t>
      </w:r>
      <w:r>
        <w:rPr>
          <w:rFonts w:hint="eastAsia"/>
          <w:sz w:val="24"/>
          <w:szCs w:val="32"/>
        </w:rPr>
        <w:t>需求</w:t>
      </w:r>
    </w:p>
    <w:p w14:paraId="1A6CE37F">
      <w:pPr>
        <w:rPr>
          <w:rFonts w:hint="eastAsia"/>
          <w:sz w:val="24"/>
          <w:szCs w:val="32"/>
        </w:rPr>
      </w:pPr>
      <w:r>
        <w:rPr>
          <w:rFonts w:hint="eastAsia"/>
          <w:sz w:val="24"/>
          <w:szCs w:val="32"/>
        </w:rPr>
        <w:t>1. 可靠性：7×24小时稳定运行，故障自动告警，快速恢复机制；</w:t>
      </w:r>
    </w:p>
    <w:p w14:paraId="23CE3B4A">
      <w:pPr>
        <w:rPr>
          <w:rFonts w:hint="eastAsia"/>
          <w:sz w:val="24"/>
          <w:szCs w:val="32"/>
        </w:rPr>
      </w:pPr>
      <w:r>
        <w:rPr>
          <w:rFonts w:hint="eastAsia"/>
          <w:sz w:val="24"/>
          <w:szCs w:val="32"/>
        </w:rPr>
        <w:t>2. 易用性：分角色定制门户，高频功能快捷入口，配套图文操作指引；</w:t>
      </w:r>
    </w:p>
    <w:p w14:paraId="4835A2A7">
      <w:pPr>
        <w:rPr>
          <w:rFonts w:hint="eastAsia"/>
          <w:sz w:val="24"/>
          <w:szCs w:val="32"/>
        </w:rPr>
      </w:pPr>
      <w:r>
        <w:rPr>
          <w:rFonts w:hint="eastAsia"/>
          <w:sz w:val="24"/>
          <w:szCs w:val="32"/>
        </w:rPr>
        <w:t>3. 性能指标：支持50人同时在线、20人并发操作；普通页面查询≤3秒；大文件解析、AI生成异步后台处理并展示进度；语音识别≥97%，校对指标达标；</w:t>
      </w:r>
    </w:p>
    <w:p w14:paraId="1D32396A">
      <w:pPr>
        <w:rPr>
          <w:rFonts w:hint="eastAsia"/>
          <w:sz w:val="24"/>
          <w:szCs w:val="32"/>
        </w:rPr>
      </w:pPr>
      <w:r>
        <w:rPr>
          <w:rFonts w:hint="eastAsia"/>
          <w:sz w:val="24"/>
          <w:szCs w:val="32"/>
        </w:rPr>
        <w:t>4. 扩展性：算力横向扩容，模块可独立扩展；</w:t>
      </w:r>
    </w:p>
    <w:p w14:paraId="2DE942C9">
      <w:pPr>
        <w:rPr>
          <w:rFonts w:hint="eastAsia"/>
          <w:sz w:val="24"/>
          <w:szCs w:val="32"/>
        </w:rPr>
      </w:pPr>
      <w:r>
        <w:rPr>
          <w:rFonts w:hint="eastAsia"/>
          <w:sz w:val="24"/>
          <w:szCs w:val="32"/>
        </w:rPr>
        <w:t>5. 兼容性：国产化软硬件、主流Office格式、PC+移动端适配；</w:t>
      </w:r>
    </w:p>
    <w:p w14:paraId="3D168C2B">
      <w:pPr>
        <w:rPr>
          <w:rFonts w:hint="eastAsia"/>
          <w:sz w:val="24"/>
          <w:szCs w:val="32"/>
        </w:rPr>
      </w:pPr>
      <w:r>
        <w:rPr>
          <w:rFonts w:hint="eastAsia"/>
          <w:sz w:val="24"/>
          <w:szCs w:val="32"/>
        </w:rPr>
        <w:t>6. 可审计：登录、文件下载、模型调用、数据导出、权限变更永久日志留存，多维度检索；</w:t>
      </w:r>
    </w:p>
    <w:p w14:paraId="08B223AA">
      <w:pPr>
        <w:rPr>
          <w:rFonts w:hint="eastAsia"/>
          <w:sz w:val="24"/>
          <w:szCs w:val="32"/>
        </w:rPr>
      </w:pPr>
      <w:r>
        <w:rPr>
          <w:rFonts w:hint="eastAsia"/>
          <w:sz w:val="24"/>
          <w:szCs w:val="32"/>
        </w:rPr>
        <w:t>7. 数据质量：内置重复数据清洗、必填校验、证书到期提醒、数据修改留痕；</w:t>
      </w:r>
    </w:p>
    <w:p w14:paraId="58338D5C">
      <w:pPr>
        <w:rPr>
          <w:rFonts w:hint="eastAsia"/>
          <w:sz w:val="24"/>
          <w:szCs w:val="32"/>
        </w:rPr>
      </w:pPr>
      <w:r>
        <w:rPr>
          <w:rFonts w:hint="eastAsia"/>
          <w:sz w:val="24"/>
          <w:szCs w:val="32"/>
        </w:rPr>
        <w:t>8. 可持续运营：知识库、词库、指标口径甲方自主长期维护，持续优化问答、校对、问数效果。</w:t>
      </w:r>
    </w:p>
    <w:p w14:paraId="2D293EE2">
      <w:pPr>
        <w:rPr>
          <w:rFonts w:hint="eastAsia"/>
          <w:sz w:val="24"/>
          <w:szCs w:val="32"/>
        </w:rPr>
      </w:pPr>
      <w:r>
        <w:rPr>
          <w:rFonts w:hint="eastAsia"/>
          <w:sz w:val="24"/>
          <w:szCs w:val="32"/>
        </w:rPr>
        <w:t>六、项目实施管理要求</w:t>
      </w:r>
    </w:p>
    <w:p w14:paraId="3E236642">
      <w:pPr>
        <w:rPr>
          <w:rFonts w:hint="eastAsia"/>
          <w:sz w:val="24"/>
          <w:szCs w:val="32"/>
        </w:rPr>
      </w:pPr>
      <w:r>
        <w:rPr>
          <w:rFonts w:hint="eastAsia"/>
          <w:sz w:val="24"/>
          <w:szCs w:val="32"/>
        </w:rPr>
        <w:t>1. 专属稳定项目团队：项目经理、集成开发、测试、专职运维；核心人员更换须甲方书面许可；全员签署保密协议，服从甲方内网保密管理规定。</w:t>
      </w:r>
    </w:p>
    <w:p w14:paraId="428D596B">
      <w:pPr>
        <w:rPr>
          <w:rFonts w:hint="eastAsia"/>
          <w:sz w:val="24"/>
          <w:szCs w:val="32"/>
        </w:rPr>
      </w:pPr>
      <w:r>
        <w:rPr>
          <w:rFonts w:hint="eastAsia"/>
          <w:sz w:val="24"/>
          <w:szCs w:val="32"/>
        </w:rPr>
        <w:t>2. 全流程文档同步输出，进度汇报、问题台账闭环管理；</w:t>
      </w:r>
    </w:p>
    <w:p w14:paraId="47063597">
      <w:pPr>
        <w:rPr>
          <w:rFonts w:hint="eastAsia"/>
          <w:sz w:val="24"/>
          <w:szCs w:val="32"/>
        </w:rPr>
      </w:pPr>
      <w:r>
        <w:rPr>
          <w:rFonts w:hint="eastAsia"/>
          <w:sz w:val="24"/>
          <w:szCs w:val="32"/>
        </w:rPr>
        <w:t>3. 分角色分层培训：管理员运维培训、业务操作人员功能培训、管理层驾驶舱数据分析培训，配套完整课件、操作手册。</w:t>
      </w:r>
    </w:p>
    <w:p w14:paraId="4FE17B31">
      <w:pPr>
        <w:rPr>
          <w:rFonts w:hint="eastAsia"/>
          <w:sz w:val="24"/>
          <w:szCs w:val="32"/>
        </w:rPr>
      </w:pPr>
      <w:r>
        <w:rPr>
          <w:rFonts w:hint="eastAsia"/>
          <w:sz w:val="24"/>
          <w:szCs w:val="32"/>
          <w:lang w:eastAsia="zh-CN"/>
        </w:rPr>
        <w:t>七</w:t>
      </w:r>
      <w:r>
        <w:rPr>
          <w:rFonts w:hint="eastAsia"/>
          <w:sz w:val="24"/>
          <w:szCs w:val="32"/>
        </w:rPr>
        <w:t>、售后质保服务要求</w:t>
      </w:r>
    </w:p>
    <w:p w14:paraId="57F946D7">
      <w:pPr>
        <w:rPr>
          <w:rFonts w:hint="eastAsia"/>
          <w:sz w:val="24"/>
          <w:szCs w:val="32"/>
        </w:rPr>
      </w:pPr>
      <w:r>
        <w:rPr>
          <w:rFonts w:hint="eastAsia"/>
          <w:sz w:val="24"/>
          <w:szCs w:val="32"/>
        </w:rPr>
        <w:t>1. 质保期限：合同签订之日起1年免费质保；</w:t>
      </w:r>
    </w:p>
    <w:p w14:paraId="586CA4DE">
      <w:pPr>
        <w:rPr>
          <w:rFonts w:hint="eastAsia"/>
          <w:sz w:val="24"/>
          <w:szCs w:val="32"/>
        </w:rPr>
      </w:pPr>
      <w:r>
        <w:rPr>
          <w:rFonts w:hint="eastAsia"/>
          <w:sz w:val="24"/>
          <w:szCs w:val="32"/>
        </w:rPr>
        <w:t>2. 分级故障响应机制</w:t>
      </w:r>
    </w:p>
    <w:p w14:paraId="3B71D766">
      <w:pPr>
        <w:rPr>
          <w:rFonts w:hint="eastAsia"/>
          <w:sz w:val="24"/>
          <w:szCs w:val="32"/>
        </w:rPr>
      </w:pPr>
      <w:r>
        <w:rPr>
          <w:rFonts w:hint="eastAsia"/>
          <w:sz w:val="24"/>
          <w:szCs w:val="32"/>
        </w:rPr>
        <w:t xml:space="preserve">    </w:t>
      </w:r>
      <w:r>
        <w:rPr>
          <w:rFonts w:hint="eastAsia"/>
          <w:sz w:val="24"/>
          <w:szCs w:val="32"/>
          <w:lang w:eastAsia="zh-CN"/>
        </w:rPr>
        <w:t>·</w:t>
      </w:r>
      <w:r>
        <w:rPr>
          <w:rFonts w:hint="eastAsia"/>
          <w:sz w:val="24"/>
          <w:szCs w:val="32"/>
        </w:rPr>
        <w:t>普通操作咨询：4小时响应，1个工作日出具解决方案；</w:t>
      </w:r>
    </w:p>
    <w:p w14:paraId="4C85042C">
      <w:pPr>
        <w:rPr>
          <w:rFonts w:hint="eastAsia"/>
          <w:sz w:val="24"/>
          <w:szCs w:val="32"/>
        </w:rPr>
      </w:pPr>
      <w:r>
        <w:rPr>
          <w:rFonts w:hint="eastAsia"/>
          <w:sz w:val="24"/>
          <w:szCs w:val="32"/>
        </w:rPr>
        <w:t xml:space="preserve">    </w:t>
      </w:r>
      <w:r>
        <w:rPr>
          <w:rFonts w:hint="eastAsia"/>
          <w:sz w:val="24"/>
          <w:szCs w:val="32"/>
          <w:lang w:eastAsia="zh-CN"/>
        </w:rPr>
        <w:t>·</w:t>
      </w:r>
      <w:r>
        <w:rPr>
          <w:rFonts w:hint="eastAsia"/>
          <w:sz w:val="24"/>
          <w:szCs w:val="32"/>
        </w:rPr>
        <w:t>一般功能故障：2小时响应，2个工作日修复；</w:t>
      </w:r>
    </w:p>
    <w:p w14:paraId="150C940A">
      <w:pPr>
        <w:rPr>
          <w:rFonts w:hint="eastAsia"/>
          <w:sz w:val="24"/>
          <w:szCs w:val="32"/>
        </w:rPr>
      </w:pPr>
      <w:r>
        <w:rPr>
          <w:rFonts w:hint="eastAsia"/>
          <w:sz w:val="24"/>
          <w:szCs w:val="32"/>
        </w:rPr>
        <w:t xml:space="preserve">    </w:t>
      </w:r>
      <w:r>
        <w:rPr>
          <w:rFonts w:hint="eastAsia"/>
          <w:sz w:val="24"/>
          <w:szCs w:val="32"/>
          <w:lang w:eastAsia="zh-CN"/>
        </w:rPr>
        <w:t>·</w:t>
      </w:r>
      <w:r>
        <w:rPr>
          <w:rFonts w:hint="eastAsia"/>
          <w:sz w:val="24"/>
          <w:szCs w:val="32"/>
        </w:rPr>
        <w:t>核心模块（智能评标、经营驾驶舱、AI校对会议）中断：1小时响应，当日提供修复方案；</w:t>
      </w:r>
    </w:p>
    <w:p w14:paraId="75F38A82">
      <w:pPr>
        <w:rPr>
          <w:rFonts w:hint="eastAsia"/>
          <w:sz w:val="24"/>
          <w:szCs w:val="32"/>
        </w:rPr>
      </w:pPr>
      <w:r>
        <w:rPr>
          <w:rFonts w:hint="eastAsia"/>
          <w:sz w:val="24"/>
          <w:szCs w:val="32"/>
        </w:rPr>
        <w:t xml:space="preserve">    </w:t>
      </w:r>
      <w:r>
        <w:rPr>
          <w:rFonts w:hint="eastAsia"/>
          <w:sz w:val="24"/>
          <w:szCs w:val="32"/>
          <w:lang w:eastAsia="zh-CN"/>
        </w:rPr>
        <w:t>·</w:t>
      </w:r>
      <w:r>
        <w:rPr>
          <w:rFonts w:hint="eastAsia"/>
          <w:sz w:val="24"/>
          <w:szCs w:val="32"/>
        </w:rPr>
        <w:t>系统整体宕机、全部模型服务不可用：30分钟应急介入，24小时工程师现场到场；</w:t>
      </w:r>
    </w:p>
    <w:p w14:paraId="49DE0E92">
      <w:pPr>
        <w:rPr>
          <w:rFonts w:hint="eastAsia"/>
          <w:sz w:val="24"/>
          <w:szCs w:val="32"/>
        </w:rPr>
      </w:pPr>
      <w:r>
        <w:rPr>
          <w:rFonts w:hint="eastAsia"/>
          <w:sz w:val="24"/>
          <w:szCs w:val="32"/>
        </w:rPr>
        <w:t>3. 质保免费服务：7×24远程支持、季度系统巡检、政策词库季度更新、模型迭代优化、安全补丁、版本优化、日常操作指导；</w:t>
      </w:r>
    </w:p>
    <w:p w14:paraId="4AD91B52">
      <w:pPr>
        <w:rPr>
          <w:rFonts w:hint="eastAsia"/>
          <w:sz w:val="24"/>
          <w:szCs w:val="32"/>
        </w:rPr>
      </w:pPr>
      <w:r>
        <w:rPr>
          <w:rFonts w:hint="eastAsia"/>
          <w:sz w:val="24"/>
          <w:szCs w:val="32"/>
        </w:rPr>
        <w:t>4. 系统升级、备份操作提前3个工作日书面告知甲方，非工作时段实施，提供完整回滚方案；</w:t>
      </w:r>
    </w:p>
    <w:p w14:paraId="34B44D3E">
      <w:pPr>
        <w:rPr>
          <w:rFonts w:hint="eastAsia"/>
          <w:sz w:val="24"/>
          <w:szCs w:val="32"/>
        </w:rPr>
      </w:pPr>
      <w:r>
        <w:rPr>
          <w:rFonts w:hint="eastAsia"/>
          <w:sz w:val="24"/>
          <w:szCs w:val="32"/>
        </w:rPr>
        <w:t>5. 售后人员永久保密甲方全部涉密交易数据，售后操作全程记录存档；</w:t>
      </w:r>
    </w:p>
    <w:p w14:paraId="4371072A">
      <w:pPr>
        <w:rPr>
          <w:rFonts w:hint="eastAsia"/>
          <w:sz w:val="24"/>
          <w:szCs w:val="32"/>
        </w:rPr>
      </w:pPr>
      <w:r>
        <w:rPr>
          <w:rFonts w:hint="eastAsia"/>
          <w:sz w:val="24"/>
          <w:szCs w:val="32"/>
        </w:rPr>
        <w:t>6. 质保期满后可另行签订年度持续运维服务合同。</w:t>
      </w:r>
    </w:p>
    <w:p w14:paraId="7007AF81">
      <w:pPr>
        <w:rPr>
          <w:rFonts w:hint="eastAsia"/>
          <w:sz w:val="24"/>
          <w:szCs w:val="32"/>
        </w:rPr>
      </w:pPr>
    </w:p>
    <w:p w14:paraId="06D67B15">
      <w:pPr>
        <w:rPr>
          <w:rFonts w:hint="eastAsia"/>
          <w:sz w:val="24"/>
          <w:szCs w:val="32"/>
        </w:rPr>
      </w:pPr>
      <w:r>
        <w:rPr>
          <w:rFonts w:hint="eastAsia"/>
          <w:sz w:val="24"/>
          <w:szCs w:val="32"/>
        </w:rPr>
        <w:t>九、商务、保密、廉政通用约束</w:t>
      </w:r>
    </w:p>
    <w:p w14:paraId="2FFA4282">
      <w:pPr>
        <w:rPr>
          <w:rFonts w:hint="eastAsia"/>
          <w:sz w:val="24"/>
          <w:szCs w:val="32"/>
        </w:rPr>
      </w:pPr>
      <w:r>
        <w:rPr>
          <w:rFonts w:hint="eastAsia"/>
          <w:sz w:val="24"/>
          <w:szCs w:val="32"/>
        </w:rPr>
        <w:t>1. 知识产权：乙方保证软件、大模型、标注语料无知识产权侵权，侵权全部损失由乙方全额承担；</w:t>
      </w:r>
    </w:p>
    <w:p w14:paraId="366148C4">
      <w:pPr>
        <w:rPr>
          <w:rFonts w:hint="eastAsia"/>
          <w:sz w:val="24"/>
          <w:szCs w:val="32"/>
        </w:rPr>
      </w:pPr>
      <w:r>
        <w:rPr>
          <w:rFonts w:hint="eastAsia"/>
          <w:sz w:val="24"/>
          <w:szCs w:val="32"/>
        </w:rPr>
        <w:t>2. 永久保密义务：合同履行及终止后永久保密甲方所有交易、报价、评标、内部涉密公文、模型语料，不得复制、外传、商用；</w:t>
      </w:r>
    </w:p>
    <w:p w14:paraId="6682EB73">
      <w:pPr>
        <w:rPr>
          <w:rFonts w:hint="eastAsia"/>
          <w:sz w:val="24"/>
          <w:szCs w:val="32"/>
        </w:rPr>
      </w:pPr>
      <w:r>
        <w:rPr>
          <w:rFonts w:hint="eastAsia"/>
          <w:sz w:val="24"/>
          <w:szCs w:val="32"/>
        </w:rPr>
        <w:t>3. 外包管控：第三方组件、外包开发必须提前书面报备甲方，书面同意后方可使用，完整披露授权与安全风险；</w:t>
      </w:r>
    </w:p>
    <w:p w14:paraId="5FBEE72A">
      <w:pPr>
        <w:rPr>
          <w:rFonts w:hint="eastAsia"/>
          <w:sz w:val="24"/>
          <w:szCs w:val="32"/>
        </w:rPr>
      </w:pPr>
      <w:r>
        <w:rPr>
          <w:rFonts w:hint="eastAsia"/>
          <w:sz w:val="24"/>
          <w:szCs w:val="32"/>
        </w:rPr>
        <w:t>4. 廉政协议：杜绝利益输送、礼品宴请、回扣，乙方违规列入黑名单，3年禁止合作；</w:t>
      </w:r>
    </w:p>
    <w:p w14:paraId="264F91F0">
      <w:pPr>
        <w:rPr>
          <w:rFonts w:hint="eastAsia"/>
          <w:sz w:val="24"/>
          <w:szCs w:val="32"/>
        </w:rPr>
      </w:pPr>
      <w:r>
        <w:rPr>
          <w:rFonts w:hint="eastAsia"/>
          <w:sz w:val="24"/>
          <w:szCs w:val="32"/>
        </w:rPr>
        <w:t>5. 争议管辖：甲方所在地人民法院管辖，违约方承担诉讼费、律师费、差旅费全部损失。</w:t>
      </w:r>
    </w:p>
    <w:p w14:paraId="3ABB491E">
      <w:pPr>
        <w:rPr>
          <w:rFonts w:hint="eastAsia"/>
        </w:rPr>
      </w:pPr>
    </w:p>
    <w:p w14:paraId="401C03AF">
      <w:pPr>
        <w:rPr>
          <w:rFonts w:hint="eastAsia"/>
        </w:rPr>
      </w:pPr>
    </w:p>
    <w:p w14:paraId="47E14E8C">
      <w:pPr>
        <w:rPr>
          <w:rFonts w:hint="eastAsia"/>
        </w:rPr>
      </w:pPr>
    </w:p>
    <w:p w14:paraId="5C4DA0E3">
      <w:pPr>
        <w:rPr>
          <w:rFonts w:hint="eastAsia"/>
        </w:rPr>
      </w:pPr>
    </w:p>
    <w:p w14:paraId="4C747667">
      <w:pPr>
        <w:rPr>
          <w:rFonts w:hint="eastAsia"/>
        </w:rPr>
      </w:pPr>
    </w:p>
    <w:p w14:paraId="267BD34D">
      <w:pPr>
        <w:rPr>
          <w:rFonts w:hint="eastAsia"/>
        </w:rPr>
      </w:pPr>
    </w:p>
    <w:p w14:paraId="0A77A9A4">
      <w:pPr>
        <w:rPr>
          <w:rFonts w:hint="eastAsia"/>
        </w:rPr>
      </w:pPr>
    </w:p>
    <w:p w14:paraId="13F65A80">
      <w:pPr>
        <w:rPr>
          <w:rFonts w:hint="eastAsia"/>
        </w:rPr>
      </w:pPr>
    </w:p>
    <w:p w14:paraId="3EEFF0BE">
      <w:pPr>
        <w:rPr>
          <w:rFonts w:hint="eastAsia"/>
        </w:rPr>
      </w:pPr>
    </w:p>
    <w:p w14:paraId="1FEF6D2C">
      <w:pPr>
        <w:rPr>
          <w:rFonts w:hint="eastAsia"/>
        </w:rPr>
      </w:pPr>
    </w:p>
    <w:p w14:paraId="2B078209">
      <w:pPr>
        <w:rPr>
          <w:rFonts w:hint="eastAsia"/>
        </w:rPr>
      </w:pPr>
    </w:p>
    <w:p w14:paraId="336C87E7">
      <w:pPr>
        <w:jc w:val="center"/>
        <w:rPr>
          <w:rFonts w:hint="eastAsia"/>
        </w:rPr>
      </w:pPr>
    </w:p>
    <w:p w14:paraId="7BB817B3">
      <w:pPr>
        <w:jc w:val="center"/>
        <w:outlineLvl w:val="9"/>
        <w:rPr>
          <w:rFonts w:hint="eastAsia" w:ascii="Times New Roman" w:hAnsi="Times New Roman" w:eastAsia="宋体" w:cs="Times New Roman"/>
          <w:b/>
          <w:bCs/>
          <w:color w:val="auto"/>
          <w:kern w:val="44"/>
          <w:sz w:val="40"/>
          <w:szCs w:val="44"/>
          <w:highlight w:val="none"/>
          <w:lang w:val="en-US" w:eastAsia="zh-CN" w:bidi="ar-SA"/>
        </w:rPr>
      </w:pPr>
    </w:p>
    <w:p w14:paraId="4312674C">
      <w:pPr>
        <w:jc w:val="center"/>
        <w:outlineLvl w:val="9"/>
        <w:rPr>
          <w:rFonts w:hint="eastAsia" w:ascii="Times New Roman" w:hAnsi="Times New Roman" w:eastAsia="宋体" w:cs="Times New Roman"/>
          <w:b/>
          <w:bCs/>
          <w:color w:val="auto"/>
          <w:kern w:val="44"/>
          <w:sz w:val="40"/>
          <w:szCs w:val="44"/>
          <w:highlight w:val="none"/>
          <w:lang w:val="en-US" w:eastAsia="zh-CN" w:bidi="ar-SA"/>
        </w:rPr>
      </w:pPr>
    </w:p>
    <w:p w14:paraId="5E31782B">
      <w:pPr>
        <w:jc w:val="center"/>
        <w:outlineLvl w:val="9"/>
        <w:rPr>
          <w:rFonts w:hint="eastAsia" w:ascii="Times New Roman" w:hAnsi="Times New Roman" w:eastAsia="宋体" w:cs="Times New Roman"/>
          <w:b/>
          <w:bCs/>
          <w:color w:val="auto"/>
          <w:kern w:val="44"/>
          <w:sz w:val="40"/>
          <w:szCs w:val="44"/>
          <w:highlight w:val="none"/>
          <w:lang w:val="en-US" w:eastAsia="zh-CN" w:bidi="ar-SA"/>
        </w:rPr>
      </w:pPr>
    </w:p>
    <w:p w14:paraId="24891F5B">
      <w:pPr>
        <w:jc w:val="center"/>
        <w:outlineLvl w:val="9"/>
        <w:rPr>
          <w:rFonts w:hint="eastAsia" w:ascii="Times New Roman" w:hAnsi="Times New Roman" w:eastAsia="宋体" w:cs="Times New Roman"/>
          <w:b/>
          <w:bCs/>
          <w:color w:val="auto"/>
          <w:kern w:val="44"/>
          <w:sz w:val="40"/>
          <w:szCs w:val="44"/>
          <w:highlight w:val="none"/>
          <w:lang w:val="en-US" w:eastAsia="zh-CN" w:bidi="ar-SA"/>
        </w:rPr>
      </w:pPr>
    </w:p>
    <w:p w14:paraId="4BD373E6">
      <w:pPr>
        <w:jc w:val="center"/>
        <w:outlineLvl w:val="9"/>
        <w:rPr>
          <w:rFonts w:hint="eastAsia" w:ascii="Times New Roman" w:hAnsi="Times New Roman" w:eastAsia="宋体" w:cs="Times New Roman"/>
          <w:b/>
          <w:bCs/>
          <w:color w:val="auto"/>
          <w:kern w:val="44"/>
          <w:sz w:val="40"/>
          <w:szCs w:val="44"/>
          <w:highlight w:val="none"/>
          <w:lang w:val="en-US" w:eastAsia="zh-CN" w:bidi="ar-SA"/>
        </w:rPr>
      </w:pPr>
    </w:p>
    <w:p w14:paraId="5D98952B">
      <w:pPr>
        <w:jc w:val="center"/>
        <w:outlineLvl w:val="9"/>
        <w:rPr>
          <w:rFonts w:hint="eastAsia" w:ascii="Times New Roman" w:hAnsi="Times New Roman" w:eastAsia="宋体" w:cs="Times New Roman"/>
          <w:b/>
          <w:bCs/>
          <w:color w:val="auto"/>
          <w:kern w:val="44"/>
          <w:sz w:val="40"/>
          <w:szCs w:val="44"/>
          <w:highlight w:val="none"/>
          <w:lang w:val="en-US" w:eastAsia="zh-CN" w:bidi="ar-SA"/>
        </w:rPr>
      </w:pPr>
    </w:p>
    <w:p w14:paraId="1986F795">
      <w:pPr>
        <w:jc w:val="center"/>
        <w:outlineLvl w:val="9"/>
        <w:rPr>
          <w:rFonts w:hint="eastAsia" w:ascii="Times New Roman" w:hAnsi="Times New Roman" w:eastAsia="宋体" w:cs="Times New Roman"/>
          <w:b/>
          <w:bCs/>
          <w:color w:val="auto"/>
          <w:kern w:val="44"/>
          <w:sz w:val="40"/>
          <w:szCs w:val="44"/>
          <w:highlight w:val="none"/>
          <w:lang w:val="en-US" w:eastAsia="zh-CN" w:bidi="ar-SA"/>
        </w:rPr>
      </w:pPr>
    </w:p>
    <w:p w14:paraId="007A5940">
      <w:pPr>
        <w:jc w:val="center"/>
        <w:outlineLvl w:val="9"/>
        <w:rPr>
          <w:rFonts w:hint="eastAsia" w:ascii="Times New Roman" w:hAnsi="Times New Roman" w:eastAsia="宋体" w:cs="Times New Roman"/>
          <w:b/>
          <w:bCs/>
          <w:color w:val="auto"/>
          <w:kern w:val="44"/>
          <w:sz w:val="40"/>
          <w:szCs w:val="44"/>
          <w:highlight w:val="none"/>
          <w:lang w:val="en-US" w:eastAsia="zh-CN" w:bidi="ar-SA"/>
        </w:rPr>
      </w:pPr>
    </w:p>
    <w:p w14:paraId="4846B6E5">
      <w:pPr>
        <w:jc w:val="center"/>
        <w:outlineLvl w:val="0"/>
        <w:rPr>
          <w:rFonts w:hint="eastAsia" w:ascii="Times New Roman" w:hAnsi="Times New Roman" w:eastAsia="宋体" w:cs="Times New Roman"/>
          <w:b/>
          <w:bCs/>
          <w:color w:val="auto"/>
          <w:kern w:val="44"/>
          <w:sz w:val="40"/>
          <w:szCs w:val="44"/>
          <w:highlight w:val="none"/>
          <w:lang w:val="en-US" w:eastAsia="zh-CN" w:bidi="ar-SA"/>
        </w:rPr>
      </w:pPr>
      <w:bookmarkStart w:id="5" w:name="_Toc1638017823"/>
      <w:r>
        <w:rPr>
          <w:rFonts w:hint="eastAsia" w:ascii="Times New Roman" w:hAnsi="Times New Roman" w:eastAsia="宋体" w:cs="Times New Roman"/>
          <w:b/>
          <w:bCs/>
          <w:color w:val="auto"/>
          <w:kern w:val="44"/>
          <w:sz w:val="40"/>
          <w:szCs w:val="44"/>
          <w:highlight w:val="none"/>
          <w:lang w:val="en-US" w:eastAsia="zh-CN" w:bidi="ar-SA"/>
        </w:rPr>
        <w:t>第六章 响应文件格式</w:t>
      </w:r>
      <w:bookmarkEnd w:id="5"/>
    </w:p>
    <w:p w14:paraId="208E1582">
      <w:pPr>
        <w:rPr>
          <w:rFonts w:hint="eastAsia"/>
          <w:lang w:eastAsia="zh-CN"/>
        </w:rPr>
      </w:pPr>
    </w:p>
    <w:p w14:paraId="1A46D5AA">
      <w:pPr>
        <w:rPr>
          <w:rFonts w:hint="eastAsia"/>
          <w:lang w:eastAsia="zh-CN"/>
        </w:rPr>
      </w:pPr>
    </w:p>
    <w:p w14:paraId="0B7565E1">
      <w:pPr>
        <w:rPr>
          <w:rFonts w:hint="eastAsia"/>
          <w:lang w:eastAsia="zh-CN"/>
        </w:rPr>
      </w:pPr>
    </w:p>
    <w:p w14:paraId="3EDED6BD">
      <w:pPr>
        <w:rPr>
          <w:rFonts w:hint="eastAsia"/>
          <w:lang w:eastAsia="zh-CN"/>
        </w:rPr>
      </w:pPr>
    </w:p>
    <w:p w14:paraId="6AB3DF92">
      <w:pPr>
        <w:rPr>
          <w:rFonts w:hint="eastAsia"/>
          <w:lang w:eastAsia="zh-CN"/>
        </w:rPr>
      </w:pPr>
    </w:p>
    <w:p w14:paraId="6FBCB934">
      <w:pPr>
        <w:rPr>
          <w:rFonts w:hint="eastAsia"/>
          <w:lang w:eastAsia="zh-CN"/>
        </w:rPr>
      </w:pPr>
    </w:p>
    <w:p w14:paraId="58F4804E">
      <w:pPr>
        <w:rPr>
          <w:rFonts w:hint="eastAsia"/>
          <w:lang w:eastAsia="zh-CN"/>
        </w:rPr>
      </w:pPr>
    </w:p>
    <w:p w14:paraId="77E02DA7">
      <w:pPr>
        <w:rPr>
          <w:rFonts w:hint="eastAsia"/>
          <w:lang w:eastAsia="zh-CN"/>
        </w:rPr>
      </w:pPr>
    </w:p>
    <w:p w14:paraId="610B8C1D">
      <w:pPr>
        <w:rPr>
          <w:rFonts w:hint="eastAsia"/>
          <w:lang w:eastAsia="zh-CN"/>
        </w:rPr>
      </w:pPr>
    </w:p>
    <w:p w14:paraId="74AA0E90">
      <w:pPr>
        <w:rPr>
          <w:rFonts w:hint="eastAsia"/>
          <w:lang w:eastAsia="zh-CN"/>
        </w:rPr>
      </w:pPr>
    </w:p>
    <w:p w14:paraId="4E1F609E">
      <w:pPr>
        <w:rPr>
          <w:rFonts w:hint="eastAsia"/>
          <w:lang w:eastAsia="zh-CN"/>
        </w:rPr>
      </w:pPr>
    </w:p>
    <w:p w14:paraId="1FA99612">
      <w:pPr>
        <w:rPr>
          <w:rFonts w:hint="eastAsia"/>
          <w:lang w:eastAsia="zh-CN"/>
        </w:rPr>
      </w:pPr>
    </w:p>
    <w:p w14:paraId="484BD6C7">
      <w:pPr>
        <w:rPr>
          <w:rFonts w:hint="eastAsia"/>
          <w:lang w:eastAsia="zh-CN"/>
        </w:rPr>
      </w:pPr>
    </w:p>
    <w:p w14:paraId="00C50100">
      <w:pPr>
        <w:rPr>
          <w:rFonts w:hint="eastAsia"/>
          <w:lang w:eastAsia="zh-CN"/>
        </w:rPr>
      </w:pPr>
    </w:p>
    <w:p w14:paraId="0352A271">
      <w:pPr>
        <w:rPr>
          <w:rFonts w:hint="eastAsia"/>
          <w:lang w:eastAsia="zh-CN"/>
        </w:rPr>
      </w:pPr>
    </w:p>
    <w:p w14:paraId="563223A1">
      <w:pPr>
        <w:rPr>
          <w:rFonts w:hint="eastAsia"/>
          <w:lang w:eastAsia="zh-CN"/>
        </w:rPr>
      </w:pPr>
    </w:p>
    <w:p w14:paraId="00C1C9E0">
      <w:pPr>
        <w:rPr>
          <w:rFonts w:hint="eastAsia"/>
          <w:lang w:eastAsia="zh-CN"/>
        </w:rPr>
      </w:pPr>
    </w:p>
    <w:p w14:paraId="7E7FD232">
      <w:pPr>
        <w:rPr>
          <w:rFonts w:hint="eastAsia"/>
          <w:lang w:eastAsia="zh-CN"/>
        </w:rPr>
      </w:pPr>
    </w:p>
    <w:p w14:paraId="2C2C3B19">
      <w:pPr>
        <w:rPr>
          <w:rFonts w:hint="eastAsia"/>
          <w:lang w:eastAsia="zh-CN"/>
        </w:rPr>
      </w:pPr>
    </w:p>
    <w:p w14:paraId="30F53C1C">
      <w:pPr>
        <w:rPr>
          <w:rFonts w:hint="eastAsia"/>
          <w:lang w:eastAsia="zh-CN"/>
        </w:rPr>
      </w:pPr>
    </w:p>
    <w:p w14:paraId="68E5C0FF">
      <w:pPr>
        <w:rPr>
          <w:rFonts w:hint="eastAsia"/>
          <w:lang w:eastAsia="zh-CN"/>
        </w:rPr>
      </w:pPr>
    </w:p>
    <w:p w14:paraId="75A7079E">
      <w:pPr>
        <w:rPr>
          <w:rFonts w:hint="eastAsia"/>
          <w:lang w:eastAsia="zh-CN"/>
        </w:rPr>
      </w:pPr>
    </w:p>
    <w:p w14:paraId="05B76E34">
      <w:pPr>
        <w:rPr>
          <w:rFonts w:hint="eastAsia"/>
          <w:lang w:eastAsia="zh-CN"/>
        </w:rPr>
      </w:pPr>
    </w:p>
    <w:p w14:paraId="03AADE25">
      <w:pPr>
        <w:rPr>
          <w:rFonts w:hint="eastAsia"/>
          <w:lang w:eastAsia="zh-CN"/>
        </w:rPr>
      </w:pPr>
    </w:p>
    <w:p w14:paraId="5D508539">
      <w:pPr>
        <w:rPr>
          <w:rFonts w:hint="eastAsia"/>
          <w:lang w:eastAsia="zh-CN"/>
        </w:rPr>
      </w:pPr>
    </w:p>
    <w:p w14:paraId="4F41849E">
      <w:pPr>
        <w:rPr>
          <w:rFonts w:hint="eastAsia"/>
          <w:lang w:eastAsia="zh-CN"/>
        </w:rPr>
      </w:pPr>
    </w:p>
    <w:p w14:paraId="245E1C19">
      <w:pPr>
        <w:rPr>
          <w:rFonts w:hint="eastAsia"/>
          <w:lang w:eastAsia="zh-CN"/>
        </w:rPr>
      </w:pPr>
    </w:p>
    <w:p w14:paraId="4E64A0E9">
      <w:pPr>
        <w:rPr>
          <w:rFonts w:hint="eastAsia"/>
          <w:lang w:eastAsia="zh-CN"/>
        </w:rPr>
      </w:pPr>
    </w:p>
    <w:p w14:paraId="15E1B8C3">
      <w:pPr>
        <w:rPr>
          <w:rFonts w:hint="eastAsia"/>
          <w:lang w:eastAsia="zh-CN"/>
        </w:rPr>
      </w:pPr>
    </w:p>
    <w:p w14:paraId="478159E6">
      <w:pPr>
        <w:rPr>
          <w:rFonts w:hint="eastAsia"/>
          <w:lang w:eastAsia="zh-CN"/>
        </w:rPr>
      </w:pPr>
    </w:p>
    <w:p w14:paraId="0DD869A8">
      <w:pPr>
        <w:jc w:val="center"/>
        <w:rPr>
          <w:rFonts w:hint="eastAsia"/>
          <w:b/>
          <w:bCs/>
          <w:sz w:val="32"/>
          <w:szCs w:val="40"/>
        </w:rPr>
      </w:pPr>
    </w:p>
    <w:p w14:paraId="0EDAA912">
      <w:pPr>
        <w:jc w:val="center"/>
        <w:rPr>
          <w:rFonts w:hint="eastAsia"/>
          <w:b/>
          <w:bCs/>
          <w:sz w:val="32"/>
          <w:szCs w:val="40"/>
        </w:rPr>
      </w:pPr>
    </w:p>
    <w:p w14:paraId="5C6124E3">
      <w:pPr>
        <w:jc w:val="center"/>
        <w:rPr>
          <w:rFonts w:hint="eastAsia"/>
          <w:b/>
          <w:bCs/>
          <w:sz w:val="32"/>
          <w:szCs w:val="40"/>
        </w:rPr>
      </w:pPr>
    </w:p>
    <w:p w14:paraId="5CD8ADCA">
      <w:pPr>
        <w:jc w:val="center"/>
        <w:rPr>
          <w:rFonts w:hint="eastAsia"/>
          <w:b/>
          <w:bCs/>
          <w:sz w:val="32"/>
          <w:szCs w:val="40"/>
        </w:rPr>
      </w:pPr>
    </w:p>
    <w:p w14:paraId="4147B97C">
      <w:pPr>
        <w:jc w:val="center"/>
        <w:rPr>
          <w:rFonts w:hint="eastAsia"/>
          <w:b/>
          <w:bCs/>
          <w:sz w:val="32"/>
          <w:szCs w:val="40"/>
        </w:rPr>
      </w:pPr>
    </w:p>
    <w:p w14:paraId="1E5FED6B">
      <w:pPr>
        <w:jc w:val="center"/>
        <w:rPr>
          <w:rFonts w:hint="eastAsia"/>
          <w:b/>
          <w:bCs/>
          <w:sz w:val="32"/>
          <w:szCs w:val="40"/>
        </w:rPr>
      </w:pPr>
    </w:p>
    <w:p w14:paraId="1D6AE304">
      <w:pPr>
        <w:jc w:val="center"/>
        <w:rPr>
          <w:rFonts w:hint="eastAsia"/>
          <w:b/>
          <w:bCs/>
          <w:sz w:val="32"/>
          <w:szCs w:val="40"/>
        </w:rPr>
      </w:pPr>
    </w:p>
    <w:p w14:paraId="706581E9">
      <w:pPr>
        <w:jc w:val="center"/>
        <w:rPr>
          <w:rFonts w:hint="eastAsia"/>
          <w:b/>
          <w:bCs/>
          <w:sz w:val="32"/>
          <w:szCs w:val="40"/>
        </w:rPr>
      </w:pPr>
      <w:r>
        <w:rPr>
          <w:rFonts w:hint="eastAsia"/>
          <w:b/>
          <w:bCs/>
          <w:sz w:val="32"/>
          <w:szCs w:val="40"/>
        </w:rPr>
        <w:t>智能化招投标平台项目</w:t>
      </w:r>
    </w:p>
    <w:p w14:paraId="401BED3B">
      <w:pPr>
        <w:jc w:val="center"/>
        <w:rPr>
          <w:rFonts w:hint="eastAsia"/>
          <w:b/>
          <w:bCs/>
          <w:sz w:val="32"/>
          <w:szCs w:val="40"/>
        </w:rPr>
      </w:pPr>
    </w:p>
    <w:p w14:paraId="313116C5">
      <w:pPr>
        <w:jc w:val="center"/>
        <w:rPr>
          <w:rFonts w:hint="eastAsia"/>
          <w:b/>
          <w:bCs/>
          <w:sz w:val="32"/>
          <w:szCs w:val="40"/>
        </w:rPr>
      </w:pPr>
    </w:p>
    <w:p w14:paraId="6C2BDF23">
      <w:pPr>
        <w:jc w:val="both"/>
        <w:rPr>
          <w:rFonts w:hint="eastAsia"/>
          <w:b/>
          <w:bCs/>
          <w:sz w:val="32"/>
          <w:szCs w:val="40"/>
        </w:rPr>
      </w:pPr>
    </w:p>
    <w:p w14:paraId="420C965C">
      <w:pPr>
        <w:jc w:val="both"/>
        <w:rPr>
          <w:rFonts w:hint="eastAsia"/>
          <w:b/>
          <w:bCs/>
          <w:sz w:val="32"/>
          <w:szCs w:val="40"/>
        </w:rPr>
      </w:pPr>
    </w:p>
    <w:p w14:paraId="4BA8970F">
      <w:pPr>
        <w:jc w:val="center"/>
        <w:rPr>
          <w:rFonts w:hint="eastAsia"/>
          <w:b/>
          <w:bCs/>
          <w:sz w:val="32"/>
          <w:szCs w:val="40"/>
        </w:rPr>
      </w:pPr>
    </w:p>
    <w:p w14:paraId="59C2761C">
      <w:pPr>
        <w:jc w:val="center"/>
        <w:rPr>
          <w:rFonts w:hint="eastAsia"/>
          <w:b/>
          <w:bCs/>
          <w:sz w:val="52"/>
          <w:szCs w:val="60"/>
        </w:rPr>
      </w:pPr>
      <w:r>
        <w:rPr>
          <w:rFonts w:hint="eastAsia"/>
          <w:b/>
          <w:bCs/>
          <w:sz w:val="52"/>
          <w:szCs w:val="60"/>
        </w:rPr>
        <w:t>响</w:t>
      </w:r>
      <w:r>
        <w:rPr>
          <w:rFonts w:hint="eastAsia"/>
          <w:b/>
          <w:bCs/>
          <w:sz w:val="52"/>
          <w:szCs w:val="60"/>
          <w:lang w:val="en-US" w:eastAsia="zh-CN"/>
        </w:rPr>
        <w:t xml:space="preserve"> </w:t>
      </w:r>
      <w:r>
        <w:rPr>
          <w:rFonts w:hint="eastAsia"/>
          <w:b/>
          <w:bCs/>
          <w:sz w:val="52"/>
          <w:szCs w:val="60"/>
        </w:rPr>
        <w:t>应</w:t>
      </w:r>
      <w:r>
        <w:rPr>
          <w:rFonts w:hint="eastAsia"/>
          <w:b/>
          <w:bCs/>
          <w:sz w:val="52"/>
          <w:szCs w:val="60"/>
          <w:lang w:val="en-US" w:eastAsia="zh-CN"/>
        </w:rPr>
        <w:t xml:space="preserve"> </w:t>
      </w:r>
      <w:r>
        <w:rPr>
          <w:rFonts w:hint="eastAsia"/>
          <w:b/>
          <w:bCs/>
          <w:sz w:val="52"/>
          <w:szCs w:val="60"/>
        </w:rPr>
        <w:t>文</w:t>
      </w:r>
      <w:r>
        <w:rPr>
          <w:rFonts w:hint="eastAsia"/>
          <w:b/>
          <w:bCs/>
          <w:sz w:val="52"/>
          <w:szCs w:val="60"/>
          <w:lang w:val="en-US" w:eastAsia="zh-CN"/>
        </w:rPr>
        <w:t xml:space="preserve"> </w:t>
      </w:r>
      <w:r>
        <w:rPr>
          <w:rFonts w:hint="eastAsia"/>
          <w:b/>
          <w:bCs/>
          <w:sz w:val="52"/>
          <w:szCs w:val="60"/>
        </w:rPr>
        <w:t>件</w:t>
      </w:r>
    </w:p>
    <w:p w14:paraId="1C72C22D">
      <w:pPr>
        <w:rPr>
          <w:rFonts w:hint="eastAsia"/>
        </w:rPr>
      </w:pPr>
    </w:p>
    <w:p w14:paraId="4D71FC0C">
      <w:pPr>
        <w:rPr>
          <w:rFonts w:hint="eastAsia"/>
        </w:rPr>
      </w:pPr>
    </w:p>
    <w:p w14:paraId="3728D569">
      <w:pPr>
        <w:rPr>
          <w:rFonts w:hint="eastAsia"/>
        </w:rPr>
      </w:pPr>
    </w:p>
    <w:p w14:paraId="660EEA3F">
      <w:pPr>
        <w:rPr>
          <w:rFonts w:hint="eastAsia"/>
        </w:rPr>
      </w:pPr>
    </w:p>
    <w:p w14:paraId="598AE8EE">
      <w:pPr>
        <w:spacing w:line="440" w:lineRule="exact"/>
        <w:jc w:val="center"/>
        <w:rPr>
          <w:rFonts w:hint="eastAsia" w:ascii="宋体" w:hAnsi="宋体" w:cs="宋体"/>
          <w:color w:val="auto"/>
          <w:sz w:val="32"/>
          <w:szCs w:val="32"/>
          <w:highlight w:val="none"/>
        </w:rPr>
      </w:pPr>
      <w:bookmarkStart w:id="6" w:name="_Toc25232_WPSOffice_Level2"/>
      <w:bookmarkStart w:id="7" w:name="_Toc5520_WPSOffice_Level2"/>
    </w:p>
    <w:p w14:paraId="3783B50C">
      <w:pPr>
        <w:spacing w:line="440" w:lineRule="exact"/>
        <w:jc w:val="center"/>
        <w:rPr>
          <w:rFonts w:hint="eastAsia" w:ascii="宋体" w:hAnsi="宋体" w:cs="宋体"/>
          <w:color w:val="auto"/>
          <w:sz w:val="32"/>
          <w:szCs w:val="32"/>
          <w:highlight w:val="none"/>
        </w:rPr>
      </w:pPr>
    </w:p>
    <w:p w14:paraId="161D5D66">
      <w:pPr>
        <w:spacing w:line="440" w:lineRule="exact"/>
        <w:jc w:val="center"/>
        <w:rPr>
          <w:rFonts w:hint="eastAsia" w:ascii="宋体" w:hAnsi="宋体" w:cs="宋体"/>
          <w:color w:val="auto"/>
          <w:sz w:val="32"/>
          <w:szCs w:val="32"/>
          <w:highlight w:val="none"/>
        </w:rPr>
      </w:pPr>
    </w:p>
    <w:p w14:paraId="19985DC2">
      <w:pPr>
        <w:spacing w:line="440" w:lineRule="exact"/>
        <w:jc w:val="center"/>
        <w:rPr>
          <w:rFonts w:hint="eastAsia" w:ascii="宋体" w:hAnsi="宋体" w:cs="宋体"/>
          <w:color w:val="auto"/>
          <w:sz w:val="32"/>
          <w:szCs w:val="32"/>
          <w:highlight w:val="none"/>
        </w:rPr>
      </w:pPr>
    </w:p>
    <w:p w14:paraId="3BD0DD2F">
      <w:pPr>
        <w:spacing w:line="440" w:lineRule="exact"/>
        <w:jc w:val="center"/>
        <w:rPr>
          <w:rFonts w:hint="eastAsia" w:ascii="宋体" w:hAnsi="宋体" w:cs="宋体"/>
          <w:color w:val="auto"/>
          <w:sz w:val="32"/>
          <w:szCs w:val="32"/>
          <w:highlight w:val="none"/>
        </w:rPr>
      </w:pPr>
    </w:p>
    <w:p w14:paraId="6BA0D470">
      <w:pPr>
        <w:spacing w:line="440" w:lineRule="exact"/>
        <w:jc w:val="center"/>
        <w:rPr>
          <w:rFonts w:hint="eastAsia" w:ascii="宋体" w:hAnsi="宋体" w:cs="宋体"/>
          <w:color w:val="auto"/>
          <w:sz w:val="32"/>
          <w:szCs w:val="32"/>
          <w:highlight w:val="none"/>
        </w:rPr>
      </w:pPr>
    </w:p>
    <w:p w14:paraId="20347D55">
      <w:pPr>
        <w:spacing w:line="440" w:lineRule="exact"/>
        <w:jc w:val="center"/>
        <w:rPr>
          <w:rFonts w:hint="eastAsia" w:ascii="宋体" w:hAnsi="宋体" w:cs="宋体"/>
          <w:color w:val="auto"/>
          <w:sz w:val="32"/>
          <w:szCs w:val="32"/>
          <w:highlight w:val="none"/>
        </w:rPr>
      </w:pPr>
    </w:p>
    <w:p w14:paraId="3EB5949E">
      <w:pPr>
        <w:spacing w:line="440" w:lineRule="exact"/>
        <w:jc w:val="center"/>
        <w:rPr>
          <w:rFonts w:hint="eastAsia" w:ascii="宋体" w:hAnsi="宋体" w:cs="宋体"/>
          <w:color w:val="auto"/>
          <w:sz w:val="32"/>
          <w:szCs w:val="32"/>
          <w:highlight w:val="none"/>
        </w:rPr>
      </w:pPr>
    </w:p>
    <w:p w14:paraId="3A591CD4">
      <w:pPr>
        <w:spacing w:line="440" w:lineRule="exact"/>
        <w:jc w:val="center"/>
        <w:rPr>
          <w:rFonts w:hint="eastAsia" w:ascii="宋体" w:hAnsi="宋体" w:cs="宋体"/>
          <w:color w:val="auto"/>
          <w:sz w:val="32"/>
          <w:szCs w:val="32"/>
          <w:highlight w:val="none"/>
        </w:rPr>
      </w:pPr>
    </w:p>
    <w:p w14:paraId="0B95A2CF">
      <w:pPr>
        <w:spacing w:line="440" w:lineRule="exact"/>
        <w:jc w:val="center"/>
        <w:rPr>
          <w:rFonts w:hint="eastAsia" w:ascii="宋体" w:hAnsi="宋体" w:cs="宋体"/>
          <w:color w:val="auto"/>
          <w:sz w:val="32"/>
          <w:szCs w:val="32"/>
          <w:highlight w:val="none"/>
        </w:rPr>
      </w:pPr>
    </w:p>
    <w:p w14:paraId="12C82FDC">
      <w:pPr>
        <w:spacing w:line="440" w:lineRule="exact"/>
        <w:jc w:val="center"/>
        <w:rPr>
          <w:rFonts w:hint="eastAsia" w:ascii="宋体" w:hAnsi="宋体" w:cs="宋体"/>
          <w:color w:val="auto"/>
          <w:sz w:val="32"/>
          <w:szCs w:val="32"/>
          <w:highlight w:val="none"/>
        </w:rPr>
      </w:pPr>
    </w:p>
    <w:p w14:paraId="76CEDE4E">
      <w:pPr>
        <w:spacing w:line="440" w:lineRule="exact"/>
        <w:jc w:val="center"/>
        <w:rPr>
          <w:rFonts w:hint="eastAsia" w:ascii="宋体" w:hAnsi="宋体" w:cs="宋体"/>
          <w:color w:val="auto"/>
          <w:sz w:val="32"/>
          <w:szCs w:val="32"/>
          <w:highlight w:val="none"/>
        </w:rPr>
      </w:pPr>
    </w:p>
    <w:p w14:paraId="6707776E">
      <w:pPr>
        <w:spacing w:line="440" w:lineRule="exact"/>
        <w:jc w:val="center"/>
        <w:rPr>
          <w:rFonts w:hint="eastAsia" w:ascii="宋体" w:hAnsi="宋体" w:cs="宋体"/>
          <w:color w:val="auto"/>
          <w:sz w:val="32"/>
          <w:szCs w:val="32"/>
          <w:highlight w:val="none"/>
        </w:rPr>
      </w:pPr>
    </w:p>
    <w:p w14:paraId="7F7A3B74">
      <w:pPr>
        <w:spacing w:line="440" w:lineRule="exact"/>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供应商：</w:t>
      </w:r>
      <w:r>
        <w:rPr>
          <w:rFonts w:hint="eastAsia" w:ascii="宋体" w:hAnsi="宋体" w:cs="宋体"/>
          <w:color w:val="auto"/>
          <w:sz w:val="32"/>
          <w:szCs w:val="32"/>
          <w:highlight w:val="none"/>
          <w:u w:val="single"/>
        </w:rPr>
        <w:t xml:space="preserve">                   (全称、盖单位章)</w:t>
      </w:r>
      <w:bookmarkEnd w:id="6"/>
      <w:bookmarkEnd w:id="7"/>
      <w:r>
        <w:rPr>
          <w:rFonts w:hint="eastAsia" w:ascii="宋体" w:hAnsi="宋体" w:cs="宋体"/>
          <w:color w:val="auto"/>
          <w:sz w:val="32"/>
          <w:szCs w:val="32"/>
          <w:highlight w:val="none"/>
          <w:u w:val="single"/>
        </w:rPr>
        <w:t xml:space="preserve"> </w:t>
      </w:r>
    </w:p>
    <w:p w14:paraId="3C2C1E0F">
      <w:pPr>
        <w:spacing w:line="440" w:lineRule="exact"/>
        <w:ind w:firstLine="2467" w:firstLineChars="771"/>
        <w:rPr>
          <w:rFonts w:hint="eastAsia" w:ascii="宋体" w:hAnsi="宋体" w:cs="宋体"/>
          <w:color w:val="auto"/>
          <w:sz w:val="32"/>
          <w:szCs w:val="32"/>
          <w:highlight w:val="none"/>
        </w:rPr>
      </w:pPr>
    </w:p>
    <w:p w14:paraId="7C93E86E">
      <w:pPr>
        <w:spacing w:line="440" w:lineRule="exact"/>
        <w:jc w:val="center"/>
        <w:rPr>
          <w:rFonts w:hint="eastAsia" w:ascii="宋体" w:hAnsi="宋体" w:cs="宋体"/>
          <w:color w:val="auto"/>
          <w:sz w:val="32"/>
          <w:szCs w:val="32"/>
          <w:highlight w:val="none"/>
        </w:rPr>
      </w:pPr>
      <w:r>
        <w:rPr>
          <w:rFonts w:hint="eastAsia" w:ascii="宋体" w:hAnsi="宋体" w:cs="宋体"/>
          <w:color w:val="auto"/>
          <w:sz w:val="32"/>
          <w:szCs w:val="32"/>
          <w:highlight w:val="none"/>
          <w:u w:val="single"/>
        </w:rPr>
        <w:t xml:space="preserve">          </w:t>
      </w:r>
      <w:bookmarkStart w:id="8" w:name="_Toc20076_WPSOffice_Level2"/>
      <w:bookmarkStart w:id="9" w:name="_Toc31577_WPSOffice_Level2"/>
      <w:r>
        <w:rPr>
          <w:rFonts w:hint="eastAsia" w:ascii="宋体" w:hAnsi="宋体" w:cs="宋体"/>
          <w:color w:val="auto"/>
          <w:sz w:val="32"/>
          <w:szCs w:val="32"/>
          <w:highlight w:val="none"/>
        </w:rPr>
        <w:t>年</w:t>
      </w:r>
      <w:r>
        <w:rPr>
          <w:rFonts w:hint="eastAsia" w:ascii="宋体" w:hAnsi="宋体" w:cs="宋体"/>
          <w:color w:val="auto"/>
          <w:sz w:val="32"/>
          <w:szCs w:val="32"/>
          <w:highlight w:val="none"/>
          <w:u w:val="single"/>
        </w:rPr>
        <w:t xml:space="preserve">        </w:t>
      </w:r>
      <w:r>
        <w:rPr>
          <w:rFonts w:hint="eastAsia" w:ascii="宋体" w:hAnsi="宋体" w:cs="宋体"/>
          <w:color w:val="auto"/>
          <w:sz w:val="32"/>
          <w:szCs w:val="32"/>
          <w:highlight w:val="none"/>
        </w:rPr>
        <w:t>月</w:t>
      </w:r>
      <w:r>
        <w:rPr>
          <w:rFonts w:hint="eastAsia" w:ascii="宋体" w:hAnsi="宋体" w:cs="宋体"/>
          <w:color w:val="auto"/>
          <w:sz w:val="32"/>
          <w:szCs w:val="32"/>
          <w:highlight w:val="none"/>
          <w:u w:val="single"/>
        </w:rPr>
        <w:t xml:space="preserve">         </w:t>
      </w:r>
      <w:r>
        <w:rPr>
          <w:rFonts w:hint="eastAsia" w:ascii="宋体" w:hAnsi="宋体" w:cs="宋体"/>
          <w:color w:val="auto"/>
          <w:sz w:val="32"/>
          <w:szCs w:val="32"/>
          <w:highlight w:val="none"/>
        </w:rPr>
        <w:t>日</w:t>
      </w:r>
      <w:bookmarkEnd w:id="8"/>
      <w:bookmarkEnd w:id="9"/>
    </w:p>
    <w:p w14:paraId="64578DAC">
      <w:pPr>
        <w:rPr>
          <w:rFonts w:hint="eastAsia"/>
        </w:rPr>
      </w:pPr>
    </w:p>
    <w:p w14:paraId="1C120AAF">
      <w:pPr>
        <w:jc w:val="center"/>
        <w:rPr>
          <w:rFonts w:hint="eastAsia"/>
          <w:b/>
          <w:bCs/>
          <w:sz w:val="28"/>
          <w:szCs w:val="36"/>
        </w:rPr>
      </w:pPr>
      <w:r>
        <w:rPr>
          <w:rFonts w:hint="eastAsia"/>
          <w:b/>
          <w:bCs/>
          <w:sz w:val="28"/>
          <w:szCs w:val="36"/>
        </w:rPr>
        <w:t>目</w:t>
      </w:r>
      <w:r>
        <w:rPr>
          <w:rFonts w:hint="eastAsia"/>
          <w:b/>
          <w:bCs/>
          <w:sz w:val="28"/>
          <w:szCs w:val="36"/>
          <w:lang w:val="en-US" w:eastAsia="zh-CN"/>
        </w:rPr>
        <w:t xml:space="preserve">  </w:t>
      </w:r>
      <w:r>
        <w:rPr>
          <w:rFonts w:hint="eastAsia"/>
          <w:b/>
          <w:bCs/>
          <w:sz w:val="28"/>
          <w:szCs w:val="36"/>
        </w:rPr>
        <w:t>录</w:t>
      </w:r>
    </w:p>
    <w:p w14:paraId="5461834A">
      <w:pPr>
        <w:rPr>
          <w:rFonts w:hint="eastAsia"/>
          <w:sz w:val="24"/>
          <w:szCs w:val="32"/>
        </w:rPr>
      </w:pPr>
      <w:r>
        <w:rPr>
          <w:rFonts w:hint="eastAsia"/>
          <w:sz w:val="24"/>
          <w:szCs w:val="32"/>
        </w:rPr>
        <w:t>一、报价函</w:t>
      </w:r>
    </w:p>
    <w:p w14:paraId="7434E1B0">
      <w:pPr>
        <w:rPr>
          <w:rFonts w:hint="eastAsia" w:eastAsiaTheme="minorEastAsia"/>
          <w:sz w:val="24"/>
          <w:szCs w:val="32"/>
          <w:lang w:eastAsia="zh-CN"/>
        </w:rPr>
      </w:pPr>
      <w:r>
        <w:rPr>
          <w:rFonts w:hint="eastAsia"/>
          <w:sz w:val="24"/>
          <w:szCs w:val="32"/>
        </w:rPr>
        <w:t>二、法定代表人身份证明/授权委托书</w:t>
      </w:r>
      <w:r>
        <w:rPr>
          <w:rFonts w:hint="eastAsia"/>
          <w:sz w:val="24"/>
          <w:szCs w:val="32"/>
          <w:lang w:eastAsia="zh-CN"/>
        </w:rPr>
        <w:t>（二选一）</w:t>
      </w:r>
    </w:p>
    <w:p w14:paraId="36A3AC29">
      <w:pPr>
        <w:rPr>
          <w:rFonts w:hint="eastAsia"/>
          <w:sz w:val="24"/>
          <w:szCs w:val="32"/>
        </w:rPr>
      </w:pPr>
      <w:r>
        <w:rPr>
          <w:rFonts w:hint="eastAsia"/>
          <w:sz w:val="24"/>
          <w:szCs w:val="32"/>
        </w:rPr>
        <w:t>三、分项报价表</w:t>
      </w:r>
    </w:p>
    <w:p w14:paraId="76D75324">
      <w:pPr>
        <w:rPr>
          <w:rFonts w:hint="eastAsia"/>
          <w:sz w:val="24"/>
          <w:szCs w:val="32"/>
        </w:rPr>
      </w:pPr>
      <w:r>
        <w:rPr>
          <w:rFonts w:hint="eastAsia"/>
          <w:sz w:val="24"/>
          <w:szCs w:val="32"/>
        </w:rPr>
        <w:t>四、商务技术偏差表</w:t>
      </w:r>
    </w:p>
    <w:p w14:paraId="6F3B9A0D">
      <w:pPr>
        <w:rPr>
          <w:rFonts w:hint="eastAsia"/>
          <w:sz w:val="24"/>
          <w:szCs w:val="32"/>
        </w:rPr>
      </w:pPr>
      <w:r>
        <w:rPr>
          <w:rFonts w:hint="eastAsia"/>
          <w:sz w:val="24"/>
          <w:szCs w:val="32"/>
        </w:rPr>
        <w:t>五、资格审查资料</w:t>
      </w:r>
    </w:p>
    <w:p w14:paraId="1AA58044">
      <w:pPr>
        <w:rPr>
          <w:rFonts w:hint="eastAsia"/>
          <w:sz w:val="24"/>
          <w:szCs w:val="32"/>
        </w:rPr>
      </w:pPr>
      <w:r>
        <w:rPr>
          <w:rFonts w:hint="eastAsia"/>
          <w:sz w:val="24"/>
          <w:szCs w:val="32"/>
        </w:rPr>
        <w:t>1. 供应商基本情况表</w:t>
      </w:r>
    </w:p>
    <w:p w14:paraId="7E685B62">
      <w:pPr>
        <w:rPr>
          <w:rFonts w:hint="eastAsia"/>
          <w:sz w:val="24"/>
          <w:szCs w:val="32"/>
        </w:rPr>
      </w:pPr>
      <w:r>
        <w:rPr>
          <w:rFonts w:hint="eastAsia"/>
          <w:sz w:val="24"/>
          <w:szCs w:val="32"/>
        </w:rPr>
        <w:t>2. 营业执照复印件</w:t>
      </w:r>
    </w:p>
    <w:p w14:paraId="1A72A8B3">
      <w:pPr>
        <w:rPr>
          <w:rFonts w:hint="eastAsia"/>
          <w:sz w:val="24"/>
          <w:szCs w:val="32"/>
        </w:rPr>
      </w:pPr>
      <w:r>
        <w:rPr>
          <w:rFonts w:hint="eastAsia"/>
          <w:sz w:val="24"/>
          <w:szCs w:val="32"/>
        </w:rPr>
        <w:t>3. 资格信誉声明书</w:t>
      </w:r>
    </w:p>
    <w:p w14:paraId="6F76E087">
      <w:pPr>
        <w:rPr>
          <w:rFonts w:hint="eastAsia"/>
          <w:sz w:val="24"/>
          <w:szCs w:val="32"/>
        </w:rPr>
      </w:pPr>
      <w:r>
        <w:rPr>
          <w:rFonts w:hint="eastAsia"/>
          <w:sz w:val="24"/>
          <w:szCs w:val="32"/>
        </w:rPr>
        <w:t>4. 同类项目业绩证明材料</w:t>
      </w:r>
    </w:p>
    <w:p w14:paraId="53E87C24">
      <w:pPr>
        <w:rPr>
          <w:rFonts w:hint="eastAsia"/>
          <w:sz w:val="24"/>
          <w:szCs w:val="32"/>
        </w:rPr>
      </w:pPr>
      <w:r>
        <w:rPr>
          <w:rFonts w:hint="eastAsia"/>
          <w:sz w:val="24"/>
          <w:szCs w:val="32"/>
        </w:rPr>
        <w:t>5. 软件著作权等技术证明</w:t>
      </w:r>
    </w:p>
    <w:p w14:paraId="1C585D92">
      <w:pPr>
        <w:rPr>
          <w:rFonts w:hint="eastAsia"/>
          <w:sz w:val="24"/>
          <w:szCs w:val="32"/>
        </w:rPr>
      </w:pPr>
      <w:r>
        <w:rPr>
          <w:rFonts w:hint="eastAsia"/>
          <w:sz w:val="24"/>
          <w:szCs w:val="32"/>
        </w:rPr>
        <w:t>六、技术实施方案</w:t>
      </w:r>
    </w:p>
    <w:p w14:paraId="5F1C3FAE">
      <w:pPr>
        <w:rPr>
          <w:rFonts w:hint="eastAsia"/>
          <w:sz w:val="24"/>
          <w:szCs w:val="32"/>
        </w:rPr>
      </w:pPr>
      <w:r>
        <w:rPr>
          <w:rFonts w:hint="eastAsia"/>
          <w:sz w:val="24"/>
          <w:szCs w:val="32"/>
        </w:rPr>
        <w:t>1. 项目总体架构方案</w:t>
      </w:r>
    </w:p>
    <w:p w14:paraId="277E524A">
      <w:pPr>
        <w:rPr>
          <w:rFonts w:hint="eastAsia"/>
          <w:sz w:val="24"/>
          <w:szCs w:val="32"/>
        </w:rPr>
      </w:pPr>
      <w:r>
        <w:rPr>
          <w:rFonts w:hint="eastAsia"/>
          <w:sz w:val="24"/>
          <w:szCs w:val="32"/>
        </w:rPr>
        <w:t>2. 交易核心模块落地方案</w:t>
      </w:r>
    </w:p>
    <w:p w14:paraId="212E1225">
      <w:pPr>
        <w:rPr>
          <w:rFonts w:hint="eastAsia"/>
          <w:sz w:val="24"/>
          <w:szCs w:val="32"/>
        </w:rPr>
      </w:pPr>
      <w:r>
        <w:rPr>
          <w:rFonts w:hint="eastAsia"/>
          <w:sz w:val="24"/>
          <w:szCs w:val="32"/>
        </w:rPr>
        <w:t>3. AI办公模块实施方案</w:t>
      </w:r>
    </w:p>
    <w:p w14:paraId="4B889D14">
      <w:pPr>
        <w:rPr>
          <w:rFonts w:hint="eastAsia"/>
          <w:sz w:val="24"/>
          <w:szCs w:val="32"/>
        </w:rPr>
      </w:pPr>
      <w:r>
        <w:rPr>
          <w:rFonts w:hint="eastAsia"/>
          <w:sz w:val="24"/>
          <w:szCs w:val="32"/>
        </w:rPr>
        <w:t>4. 私有化大模型底座建设方案</w:t>
      </w:r>
    </w:p>
    <w:p w14:paraId="1610B4FF">
      <w:pPr>
        <w:rPr>
          <w:rFonts w:hint="eastAsia"/>
          <w:sz w:val="24"/>
          <w:szCs w:val="32"/>
        </w:rPr>
      </w:pPr>
      <w:r>
        <w:rPr>
          <w:rFonts w:hint="eastAsia"/>
          <w:sz w:val="24"/>
          <w:szCs w:val="32"/>
        </w:rPr>
        <w:t>5. 数据治理与存量档案迁移方案</w:t>
      </w:r>
    </w:p>
    <w:p w14:paraId="6940C4E7">
      <w:pPr>
        <w:rPr>
          <w:rFonts w:hint="eastAsia"/>
          <w:sz w:val="24"/>
          <w:szCs w:val="32"/>
        </w:rPr>
      </w:pPr>
      <w:r>
        <w:rPr>
          <w:rFonts w:hint="eastAsia"/>
          <w:sz w:val="24"/>
          <w:szCs w:val="32"/>
        </w:rPr>
        <w:t>6. 系统集成对接方案</w:t>
      </w:r>
    </w:p>
    <w:p w14:paraId="757842CE">
      <w:pPr>
        <w:rPr>
          <w:rFonts w:hint="eastAsia"/>
          <w:sz w:val="24"/>
          <w:szCs w:val="32"/>
        </w:rPr>
      </w:pPr>
      <w:r>
        <w:rPr>
          <w:rFonts w:hint="eastAsia"/>
          <w:sz w:val="24"/>
          <w:szCs w:val="32"/>
        </w:rPr>
        <w:t>7. 安全、信创、私有化保障措施</w:t>
      </w:r>
    </w:p>
    <w:p w14:paraId="675890EF">
      <w:pPr>
        <w:rPr>
          <w:rFonts w:hint="eastAsia"/>
          <w:sz w:val="24"/>
          <w:szCs w:val="32"/>
        </w:rPr>
      </w:pPr>
      <w:r>
        <w:rPr>
          <w:rFonts w:hint="eastAsia"/>
          <w:sz w:val="24"/>
          <w:szCs w:val="32"/>
        </w:rPr>
        <w:t>七、项目团队配置方案</w:t>
      </w:r>
    </w:p>
    <w:p w14:paraId="641F5CB7">
      <w:pPr>
        <w:rPr>
          <w:rFonts w:hint="eastAsia"/>
          <w:sz w:val="24"/>
          <w:szCs w:val="32"/>
        </w:rPr>
      </w:pPr>
      <w:r>
        <w:rPr>
          <w:rFonts w:hint="eastAsia"/>
          <w:sz w:val="24"/>
          <w:szCs w:val="32"/>
        </w:rPr>
        <w:t>八、售后服务及质保响应方案</w:t>
      </w:r>
    </w:p>
    <w:p w14:paraId="35A305D7">
      <w:pPr>
        <w:rPr>
          <w:rFonts w:hint="eastAsia"/>
          <w:sz w:val="24"/>
          <w:szCs w:val="32"/>
        </w:rPr>
      </w:pPr>
      <w:r>
        <w:rPr>
          <w:rFonts w:hint="eastAsia"/>
          <w:sz w:val="24"/>
          <w:szCs w:val="32"/>
        </w:rPr>
        <w:t>九、保密、廉政承诺函</w:t>
      </w:r>
    </w:p>
    <w:p w14:paraId="5344CDEC">
      <w:pPr>
        <w:rPr>
          <w:rFonts w:hint="eastAsia" w:eastAsiaTheme="minorEastAsia"/>
          <w:sz w:val="24"/>
          <w:szCs w:val="32"/>
          <w:lang w:eastAsia="zh-CN"/>
        </w:rPr>
      </w:pPr>
      <w:r>
        <w:rPr>
          <w:rFonts w:hint="eastAsia"/>
          <w:sz w:val="24"/>
          <w:szCs w:val="32"/>
        </w:rPr>
        <w:t>十、其他补充材料</w:t>
      </w:r>
      <w:r>
        <w:rPr>
          <w:rFonts w:hint="eastAsia"/>
          <w:sz w:val="24"/>
          <w:szCs w:val="32"/>
          <w:lang w:eastAsia="zh-CN"/>
        </w:rPr>
        <w:t>（如有）</w:t>
      </w:r>
    </w:p>
    <w:p w14:paraId="6E259D15">
      <w:pPr>
        <w:rPr>
          <w:rFonts w:hint="eastAsia"/>
        </w:rPr>
      </w:pPr>
    </w:p>
    <w:p w14:paraId="0D7E85D9">
      <w:pPr>
        <w:jc w:val="center"/>
        <w:rPr>
          <w:rFonts w:hint="eastAsia"/>
          <w:b/>
          <w:bCs/>
          <w:sz w:val="24"/>
          <w:szCs w:val="32"/>
        </w:rPr>
      </w:pPr>
      <w:r>
        <w:rPr>
          <w:rFonts w:hint="eastAsia"/>
          <w:b/>
          <w:bCs/>
          <w:sz w:val="24"/>
          <w:szCs w:val="32"/>
        </w:rPr>
        <w:t>一、报价函</w:t>
      </w:r>
    </w:p>
    <w:p w14:paraId="08491B63">
      <w:pPr>
        <w:rPr>
          <w:rFonts w:hint="eastAsia" w:eastAsiaTheme="minorEastAsia"/>
          <w:sz w:val="24"/>
          <w:szCs w:val="32"/>
          <w:u w:val="single"/>
          <w:lang w:eastAsia="zh-CN"/>
        </w:rPr>
      </w:pPr>
      <w:r>
        <w:rPr>
          <w:rFonts w:hint="eastAsia"/>
          <w:sz w:val="24"/>
          <w:szCs w:val="32"/>
        </w:rPr>
        <w:t>致：</w:t>
      </w:r>
      <w:r>
        <w:rPr>
          <w:rFonts w:hint="eastAsia"/>
          <w:sz w:val="24"/>
          <w:szCs w:val="32"/>
          <w:u w:val="single"/>
          <w:lang w:eastAsia="zh-CN"/>
        </w:rPr>
        <w:t>深圳市云创得力数据有限公司（采购人）</w:t>
      </w:r>
    </w:p>
    <w:p w14:paraId="371FE648">
      <w:pPr>
        <w:ind w:firstLine="480" w:firstLineChars="200"/>
        <w:rPr>
          <w:rFonts w:hint="eastAsia"/>
          <w:sz w:val="24"/>
          <w:szCs w:val="32"/>
        </w:rPr>
      </w:pPr>
      <w:r>
        <w:rPr>
          <w:rFonts w:hint="eastAsia"/>
          <w:sz w:val="24"/>
          <w:szCs w:val="32"/>
        </w:rPr>
        <w:t>我方已完整研读本项目询比文件全部内容，无异议，自愿以人民币大写：__________元（小写￥__________）完成本项目全部建设、实施</w:t>
      </w:r>
      <w:r>
        <w:rPr>
          <w:rFonts w:hint="eastAsia"/>
          <w:sz w:val="24"/>
          <w:szCs w:val="32"/>
          <w:lang w:eastAsia="zh-CN"/>
        </w:rPr>
        <w:t>、</w:t>
      </w:r>
      <w:r>
        <w:rPr>
          <w:rFonts w:hint="eastAsia"/>
          <w:sz w:val="24"/>
          <w:szCs w:val="32"/>
        </w:rPr>
        <w:t>1年质保服务。</w:t>
      </w:r>
    </w:p>
    <w:p w14:paraId="21ABBBB9">
      <w:pPr>
        <w:rPr>
          <w:rFonts w:hint="eastAsia"/>
          <w:sz w:val="24"/>
          <w:szCs w:val="32"/>
        </w:rPr>
      </w:pPr>
      <w:r>
        <w:rPr>
          <w:rFonts w:hint="eastAsia"/>
          <w:sz w:val="24"/>
          <w:szCs w:val="32"/>
        </w:rPr>
        <w:t>1. 质量标准：完全满足采购需求全部条款，验收合格；质保1年；付款方式完全响应询比文件约定；</w:t>
      </w:r>
    </w:p>
    <w:p w14:paraId="3E65A5E4">
      <w:pPr>
        <w:rPr>
          <w:rFonts w:hint="eastAsia"/>
          <w:sz w:val="24"/>
          <w:szCs w:val="32"/>
        </w:rPr>
      </w:pPr>
      <w:r>
        <w:rPr>
          <w:rFonts w:hint="eastAsia"/>
          <w:sz w:val="24"/>
          <w:szCs w:val="32"/>
        </w:rPr>
        <w:t>2. 我方承诺所有资质、业绩、技术材料真实有效，存在虚假自愿取消成交资格并承担全部法律责任；</w:t>
      </w:r>
    </w:p>
    <w:p w14:paraId="01B3368E">
      <w:pPr>
        <w:rPr>
          <w:rFonts w:hint="eastAsia"/>
          <w:sz w:val="24"/>
          <w:szCs w:val="32"/>
        </w:rPr>
      </w:pPr>
      <w:r>
        <w:rPr>
          <w:rFonts w:hint="eastAsia"/>
          <w:sz w:val="24"/>
          <w:szCs w:val="32"/>
        </w:rPr>
        <w:t>3. 若我方成交，将按合同约定工期交付全部成果，全套知识产权归属采购人，所有数据内网私有化部署不外流；</w:t>
      </w:r>
    </w:p>
    <w:p w14:paraId="1D416D36">
      <w:pPr>
        <w:rPr>
          <w:rFonts w:hint="eastAsia"/>
          <w:sz w:val="24"/>
          <w:szCs w:val="32"/>
        </w:rPr>
      </w:pPr>
      <w:r>
        <w:rPr>
          <w:rFonts w:hint="eastAsia"/>
          <w:sz w:val="24"/>
          <w:szCs w:val="32"/>
        </w:rPr>
        <w:t>4. 响应有效期90日历天，有效期内不撤销、修改响应文件；</w:t>
      </w:r>
    </w:p>
    <w:p w14:paraId="4956119D">
      <w:pPr>
        <w:rPr>
          <w:rFonts w:hint="eastAsia"/>
          <w:sz w:val="24"/>
          <w:szCs w:val="32"/>
        </w:rPr>
      </w:pPr>
      <w:r>
        <w:rPr>
          <w:rFonts w:hint="eastAsia"/>
          <w:sz w:val="24"/>
          <w:szCs w:val="32"/>
        </w:rPr>
        <w:t>5. 本报价函与询比文件、最终合同具备同等约束力。</w:t>
      </w:r>
    </w:p>
    <w:p w14:paraId="32CE4F4B">
      <w:pPr>
        <w:rPr>
          <w:rFonts w:hint="eastAsia"/>
          <w:sz w:val="24"/>
          <w:szCs w:val="32"/>
        </w:rPr>
      </w:pPr>
    </w:p>
    <w:p w14:paraId="73E37FE3">
      <w:pPr>
        <w:jc w:val="right"/>
        <w:rPr>
          <w:rFonts w:hint="eastAsia"/>
          <w:sz w:val="24"/>
          <w:szCs w:val="32"/>
        </w:rPr>
      </w:pPr>
      <w:r>
        <w:rPr>
          <w:rFonts w:hint="eastAsia"/>
          <w:sz w:val="24"/>
          <w:szCs w:val="32"/>
        </w:rPr>
        <w:t>报价单位（公章）：__________</w:t>
      </w:r>
    </w:p>
    <w:p w14:paraId="7ACF2FD1">
      <w:pPr>
        <w:jc w:val="right"/>
        <w:rPr>
          <w:rFonts w:hint="eastAsia"/>
          <w:sz w:val="24"/>
          <w:szCs w:val="32"/>
        </w:rPr>
      </w:pPr>
      <w:r>
        <w:rPr>
          <w:rFonts w:hint="eastAsia"/>
          <w:sz w:val="24"/>
          <w:szCs w:val="32"/>
        </w:rPr>
        <w:t>法定代表人/授权代表（签字）：__________</w:t>
      </w:r>
    </w:p>
    <w:p w14:paraId="7EEB029E">
      <w:pPr>
        <w:jc w:val="right"/>
        <w:rPr>
          <w:rFonts w:hint="eastAsia"/>
          <w:sz w:val="24"/>
          <w:szCs w:val="32"/>
        </w:rPr>
      </w:pPr>
      <w:r>
        <w:rPr>
          <w:rFonts w:hint="eastAsia"/>
          <w:sz w:val="24"/>
          <w:szCs w:val="32"/>
        </w:rPr>
        <w:t>联系地址：__________ 联系电话：__________</w:t>
      </w:r>
    </w:p>
    <w:p w14:paraId="7769BABF">
      <w:pPr>
        <w:jc w:val="right"/>
        <w:rPr>
          <w:rFonts w:hint="eastAsia"/>
          <w:sz w:val="24"/>
          <w:szCs w:val="32"/>
        </w:rPr>
      </w:pPr>
      <w:r>
        <w:rPr>
          <w:rFonts w:hint="eastAsia"/>
          <w:sz w:val="24"/>
          <w:szCs w:val="32"/>
        </w:rPr>
        <w:t>日期：2026年____月____日</w:t>
      </w:r>
    </w:p>
    <w:p w14:paraId="130EEF0A">
      <w:pPr>
        <w:rPr>
          <w:rFonts w:hint="eastAsia"/>
        </w:rPr>
      </w:pPr>
    </w:p>
    <w:p w14:paraId="710BC889">
      <w:pPr>
        <w:rPr>
          <w:rFonts w:hint="eastAsia"/>
        </w:rPr>
      </w:pPr>
    </w:p>
    <w:p w14:paraId="11106E6B">
      <w:pPr>
        <w:rPr>
          <w:rFonts w:hint="eastAsia"/>
        </w:rPr>
      </w:pPr>
    </w:p>
    <w:p w14:paraId="4FF14CD0">
      <w:pPr>
        <w:rPr>
          <w:rFonts w:hint="eastAsia"/>
        </w:rPr>
      </w:pPr>
    </w:p>
    <w:p w14:paraId="63676931">
      <w:pPr>
        <w:rPr>
          <w:rFonts w:hint="eastAsia"/>
        </w:rPr>
      </w:pPr>
    </w:p>
    <w:p w14:paraId="45FEF0D3">
      <w:pPr>
        <w:rPr>
          <w:rFonts w:hint="eastAsia"/>
        </w:rPr>
      </w:pPr>
    </w:p>
    <w:p w14:paraId="267714CF">
      <w:pPr>
        <w:rPr>
          <w:rFonts w:hint="eastAsia"/>
        </w:rPr>
      </w:pPr>
    </w:p>
    <w:p w14:paraId="5FE66CDD">
      <w:pPr>
        <w:rPr>
          <w:rFonts w:hint="eastAsia"/>
        </w:rPr>
      </w:pPr>
    </w:p>
    <w:p w14:paraId="226B671A">
      <w:pPr>
        <w:spacing w:line="360" w:lineRule="auto"/>
        <w:jc w:val="center"/>
        <w:outlineLvl w:val="1"/>
        <w:rPr>
          <w:rFonts w:hint="eastAsia" w:ascii="宋体" w:hAnsi="宋体" w:cs="宋体"/>
          <w:b/>
          <w:color w:val="auto"/>
          <w:sz w:val="28"/>
          <w:szCs w:val="28"/>
          <w:highlight w:val="none"/>
        </w:rPr>
      </w:pPr>
      <w:bookmarkStart w:id="10" w:name="_Toc16620"/>
      <w:bookmarkStart w:id="11" w:name="_Toc31127_WPSOffice_Level1"/>
      <w:bookmarkStart w:id="12" w:name="_Toc8695_WPSOffice_Level1"/>
      <w:bookmarkStart w:id="13" w:name="_Toc32350_WPSOffice_Level1"/>
      <w:bookmarkStart w:id="14" w:name="_Toc14563_WPSOffice_Level1"/>
      <w:bookmarkStart w:id="15" w:name="_Toc18668_WPSOffice_Level1"/>
      <w:bookmarkStart w:id="16" w:name="_Toc13190_WPSOffice_Level1"/>
      <w:bookmarkStart w:id="17" w:name="_Toc10193"/>
      <w:bookmarkStart w:id="18" w:name="_Toc12530_WPSOffice_Level1"/>
      <w:r>
        <w:rPr>
          <w:rFonts w:hint="eastAsia" w:ascii="宋体" w:hAnsi="宋体" w:cs="宋体"/>
          <w:b/>
          <w:color w:val="auto"/>
          <w:sz w:val="28"/>
          <w:szCs w:val="28"/>
          <w:highlight w:val="none"/>
        </w:rPr>
        <w:t>二、法定代表人身份证明</w:t>
      </w:r>
      <w:bookmarkEnd w:id="10"/>
      <w:bookmarkEnd w:id="11"/>
      <w:bookmarkEnd w:id="12"/>
      <w:bookmarkEnd w:id="13"/>
      <w:bookmarkEnd w:id="14"/>
      <w:bookmarkEnd w:id="15"/>
      <w:bookmarkEnd w:id="16"/>
      <w:bookmarkEnd w:id="17"/>
      <w:bookmarkEnd w:id="18"/>
    </w:p>
    <w:p w14:paraId="7FF2C489">
      <w:pPr>
        <w:spacing w:line="440" w:lineRule="exact"/>
        <w:rPr>
          <w:rFonts w:hint="eastAsia" w:ascii="宋体" w:hAnsi="宋体" w:cs="宋体"/>
          <w:color w:val="auto"/>
          <w:sz w:val="24"/>
          <w:highlight w:val="none"/>
        </w:rPr>
      </w:pPr>
    </w:p>
    <w:p w14:paraId="76A0664C">
      <w:pPr>
        <w:pStyle w:val="6"/>
        <w:rPr>
          <w:rFonts w:hint="eastAsia" w:ascii="宋体" w:hAnsi="宋体" w:cs="宋体"/>
          <w:color w:val="auto"/>
          <w:sz w:val="24"/>
          <w:highlight w:val="none"/>
        </w:rPr>
      </w:pPr>
    </w:p>
    <w:p w14:paraId="37F4CDD7">
      <w:pPr>
        <w:spacing w:line="560" w:lineRule="exact"/>
        <w:rPr>
          <w:rFonts w:hint="eastAsia" w:ascii="宋体" w:hAnsi="宋体" w:cs="宋体"/>
          <w:color w:val="auto"/>
          <w:sz w:val="24"/>
          <w:highlight w:val="none"/>
        </w:rPr>
      </w:pPr>
      <w:r>
        <w:rPr>
          <w:rFonts w:hint="eastAsia" w:ascii="宋体" w:hAnsi="宋体" w:cs="宋体"/>
          <w:color w:val="auto"/>
          <w:sz w:val="24"/>
          <w:highlight w:val="none"/>
        </w:rPr>
        <w:t>供应商名称：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726DB121">
      <w:pPr>
        <w:spacing w:line="560" w:lineRule="exact"/>
        <w:rPr>
          <w:rFonts w:hint="eastAsia" w:ascii="宋体" w:hAnsi="宋体" w:cs="宋体"/>
          <w:color w:val="auto"/>
          <w:sz w:val="24"/>
          <w:highlight w:val="none"/>
        </w:rPr>
      </w:pPr>
      <w:r>
        <w:rPr>
          <w:rFonts w:hint="eastAsia" w:ascii="宋体" w:hAnsi="宋体" w:cs="宋体"/>
          <w:color w:val="auto"/>
          <w:sz w:val="24"/>
          <w:highlight w:val="none"/>
        </w:rPr>
        <w:t>姓名：</w:t>
      </w:r>
      <w:r>
        <w:rPr>
          <w:rFonts w:hint="eastAsia" w:ascii="宋体" w:hAnsi="宋体" w:cs="宋体"/>
          <w:color w:val="auto"/>
          <w:sz w:val="24"/>
          <w:highlight w:val="none"/>
          <w:u w:val="single"/>
        </w:rPr>
        <w:t xml:space="preserve">  </w:t>
      </w:r>
      <w:r>
        <w:rPr>
          <w:rFonts w:hint="eastAsia" w:ascii="宋体" w:hAnsi="宋体" w:cs="宋体"/>
          <w:bCs/>
          <w:color w:val="auto"/>
          <w:sz w:val="24"/>
          <w:highlight w:val="none"/>
          <w:u w:val="single"/>
        </w:rPr>
        <w:t xml:space="preserve">    </w:t>
      </w:r>
      <w:r>
        <w:rPr>
          <w:rFonts w:hint="eastAsia" w:ascii="宋体" w:hAnsi="宋体" w:cs="宋体"/>
          <w:color w:val="auto"/>
          <w:sz w:val="24"/>
          <w:highlight w:val="none"/>
          <w:u w:val="single"/>
        </w:rPr>
        <w:t xml:space="preserve">    </w:t>
      </w:r>
      <w:r>
        <w:rPr>
          <w:rFonts w:hint="eastAsia" w:ascii="宋体" w:hAnsi="宋体" w:cs="宋体"/>
          <w:bCs/>
          <w:color w:val="auto"/>
          <w:sz w:val="24"/>
          <w:highlight w:val="none"/>
          <w:u w:val="single"/>
        </w:rPr>
        <w:t xml:space="preserve"> </w:t>
      </w:r>
      <w:r>
        <w:rPr>
          <w:rFonts w:hint="eastAsia" w:ascii="宋体" w:hAnsi="宋体" w:cs="宋体"/>
          <w:color w:val="auto"/>
          <w:sz w:val="24"/>
          <w:highlight w:val="none"/>
        </w:rPr>
        <w:t xml:space="preserve"> 性别：</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年龄：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职务：</w:t>
      </w:r>
      <w:r>
        <w:rPr>
          <w:rFonts w:hint="eastAsia" w:ascii="宋体" w:hAnsi="宋体" w:cs="宋体"/>
          <w:color w:val="auto"/>
          <w:sz w:val="24"/>
          <w:highlight w:val="none"/>
          <w:u w:val="single"/>
        </w:rPr>
        <w:t xml:space="preserve">        </w:t>
      </w:r>
    </w:p>
    <w:p w14:paraId="0D30EC20">
      <w:pPr>
        <w:spacing w:line="560" w:lineRule="exact"/>
        <w:rPr>
          <w:rFonts w:hint="eastAsia" w:ascii="宋体" w:hAnsi="宋体" w:cs="宋体"/>
          <w:color w:val="auto"/>
          <w:sz w:val="24"/>
          <w:highlight w:val="none"/>
        </w:rPr>
      </w:pPr>
      <w:r>
        <w:rPr>
          <w:rFonts w:hint="eastAsia" w:ascii="宋体" w:hAnsi="宋体" w:cs="宋体"/>
          <w:color w:val="auto"/>
          <w:sz w:val="24"/>
          <w:highlight w:val="none"/>
        </w:rPr>
        <w:t>系</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(供应商名称)的法定代表人。</w:t>
      </w:r>
    </w:p>
    <w:p w14:paraId="02C0223E">
      <w:pPr>
        <w:spacing w:line="560" w:lineRule="exact"/>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附：法定代表人身份证正反面复印件</w:t>
      </w:r>
    </w:p>
    <w:p w14:paraId="08DA268E">
      <w:pPr>
        <w:spacing w:line="560" w:lineRule="exact"/>
        <w:ind w:firstLine="480" w:firstLineChars="200"/>
        <w:rPr>
          <w:rFonts w:hint="eastAsia" w:ascii="宋体" w:hAnsi="宋体" w:cs="宋体"/>
          <w:color w:val="auto"/>
          <w:sz w:val="24"/>
          <w:highlight w:val="none"/>
        </w:rPr>
      </w:pPr>
    </w:p>
    <w:p w14:paraId="6E5C47D8">
      <w:pPr>
        <w:spacing w:line="560" w:lineRule="exact"/>
        <w:ind w:firstLine="480" w:firstLineChars="200"/>
        <w:rPr>
          <w:rFonts w:hint="eastAsia" w:ascii="宋体" w:hAnsi="宋体" w:cs="宋体"/>
          <w:color w:val="auto"/>
          <w:sz w:val="24"/>
          <w:highlight w:val="none"/>
        </w:rPr>
      </w:pPr>
    </w:p>
    <w:p w14:paraId="5FB41F21">
      <w:pPr>
        <w:spacing w:line="56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特此证明。</w:t>
      </w:r>
    </w:p>
    <w:p w14:paraId="2D668EAA">
      <w:pPr>
        <w:spacing w:line="560" w:lineRule="exact"/>
        <w:rPr>
          <w:rFonts w:hint="eastAsia" w:ascii="宋体" w:hAnsi="宋体" w:cs="宋体"/>
          <w:color w:val="auto"/>
          <w:sz w:val="24"/>
          <w:highlight w:val="none"/>
        </w:rPr>
      </w:pPr>
    </w:p>
    <w:p w14:paraId="4FF2409C">
      <w:pPr>
        <w:spacing w:line="560" w:lineRule="exact"/>
        <w:rPr>
          <w:rFonts w:hint="eastAsia" w:ascii="宋体" w:hAnsi="宋体" w:cs="宋体"/>
          <w:color w:val="auto"/>
          <w:sz w:val="24"/>
          <w:highlight w:val="none"/>
        </w:rPr>
      </w:pPr>
    </w:p>
    <w:p w14:paraId="0282D92D">
      <w:pPr>
        <w:spacing w:after="120"/>
        <w:jc w:val="right"/>
        <w:rPr>
          <w:rFonts w:hint="eastAsia" w:ascii="宋体" w:hAnsi="宋体" w:cs="宋体"/>
          <w:color w:val="auto"/>
          <w:sz w:val="24"/>
          <w:highlight w:val="none"/>
        </w:rPr>
      </w:pPr>
      <w:r>
        <w:rPr>
          <w:rFonts w:hint="eastAsia" w:ascii="宋体" w:hAnsi="宋体" w:cs="宋体"/>
          <w:color w:val="auto"/>
          <w:sz w:val="24"/>
          <w:highlight w:val="none"/>
        </w:rPr>
        <w:t xml:space="preserve">                        供应商：</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（单位公章）</w:t>
      </w:r>
    </w:p>
    <w:p w14:paraId="71938F3D">
      <w:pPr>
        <w:pStyle w:val="6"/>
        <w:jc w:val="right"/>
        <w:rPr>
          <w:rFonts w:hint="eastAsia" w:ascii="宋体" w:hAnsi="宋体" w:cs="宋体"/>
          <w:color w:val="auto"/>
          <w:sz w:val="24"/>
          <w:highlight w:val="none"/>
        </w:rPr>
      </w:pPr>
    </w:p>
    <w:p w14:paraId="4D9FE86B">
      <w:pPr>
        <w:pStyle w:val="6"/>
        <w:jc w:val="right"/>
        <w:rPr>
          <w:rFonts w:hint="eastAsia" w:ascii="宋体" w:hAnsi="宋体" w:cs="宋体"/>
          <w:color w:val="auto"/>
          <w:sz w:val="24"/>
          <w:highlight w:val="none"/>
        </w:rPr>
      </w:pPr>
      <w:r>
        <w:rPr>
          <w:rFonts w:hint="eastAsia" w:ascii="宋体" w:hAnsi="宋体" w:cs="宋体"/>
          <w:color w:val="auto"/>
          <w:sz w:val="24"/>
          <w:highlight w:val="none"/>
        </w:rPr>
        <w:t>日  期：</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p>
    <w:p w14:paraId="728D8B37">
      <w:pPr>
        <w:spacing w:line="440" w:lineRule="exact"/>
        <w:rPr>
          <w:rFonts w:hint="eastAsia" w:ascii="宋体" w:hAnsi="宋体" w:cs="宋体"/>
          <w:b/>
          <w:bCs/>
          <w:color w:val="auto"/>
          <w:sz w:val="24"/>
          <w:highlight w:val="none"/>
        </w:rPr>
      </w:pPr>
      <w:r>
        <w:rPr>
          <w:rFonts w:hint="eastAsia" w:ascii="宋体" w:hAnsi="宋体" w:cs="宋体"/>
          <w:b/>
          <w:bCs/>
          <w:color w:val="auto"/>
          <w:sz w:val="24"/>
          <w:highlight w:val="none"/>
        </w:rPr>
        <w:t>注：由法定代表人签署的响应文件不需提供授权委托书，，只需提供法定代表人身份证明。</w:t>
      </w:r>
    </w:p>
    <w:p w14:paraId="7F5EE7FB">
      <w:pPr>
        <w:rPr>
          <w:rFonts w:hint="eastAsia" w:ascii="宋体" w:hAnsi="宋体" w:cs="宋体"/>
          <w:b/>
          <w:bCs/>
          <w:color w:val="auto"/>
          <w:sz w:val="24"/>
          <w:highlight w:val="none"/>
        </w:rPr>
      </w:pPr>
      <w:r>
        <w:rPr>
          <w:rFonts w:hint="eastAsia" w:ascii="宋体" w:hAnsi="宋体" w:cs="宋体"/>
          <w:b/>
          <w:bCs/>
          <w:color w:val="auto"/>
          <w:sz w:val="24"/>
          <w:highlight w:val="none"/>
        </w:rPr>
        <w:t xml:space="preserve">  非法定代表人参加报价活动及签署文件的只须提供授权委托书。     </w:t>
      </w:r>
    </w:p>
    <w:p w14:paraId="6118979B">
      <w:pPr>
        <w:spacing w:line="360" w:lineRule="auto"/>
        <w:jc w:val="center"/>
        <w:outlineLvl w:val="9"/>
        <w:rPr>
          <w:rFonts w:hint="eastAsia" w:ascii="宋体" w:hAnsi="宋体" w:cs="宋体"/>
          <w:b/>
          <w:color w:val="auto"/>
          <w:sz w:val="28"/>
          <w:szCs w:val="28"/>
          <w:highlight w:val="none"/>
        </w:rPr>
      </w:pPr>
    </w:p>
    <w:p w14:paraId="00EC7CAC">
      <w:pPr>
        <w:spacing w:line="360" w:lineRule="auto"/>
        <w:jc w:val="center"/>
        <w:outlineLvl w:val="9"/>
        <w:rPr>
          <w:rFonts w:hint="eastAsia" w:ascii="宋体" w:hAnsi="宋体" w:cs="宋体"/>
          <w:b/>
          <w:color w:val="auto"/>
          <w:sz w:val="28"/>
          <w:szCs w:val="28"/>
          <w:highlight w:val="none"/>
        </w:rPr>
      </w:pPr>
    </w:p>
    <w:p w14:paraId="77109FC3">
      <w:pPr>
        <w:spacing w:line="360" w:lineRule="auto"/>
        <w:jc w:val="center"/>
        <w:outlineLvl w:val="9"/>
        <w:rPr>
          <w:rFonts w:hint="eastAsia" w:ascii="宋体" w:hAnsi="宋体" w:cs="宋体"/>
          <w:b/>
          <w:color w:val="auto"/>
          <w:sz w:val="28"/>
          <w:szCs w:val="28"/>
          <w:highlight w:val="none"/>
        </w:rPr>
      </w:pPr>
    </w:p>
    <w:p w14:paraId="753E26BA">
      <w:pPr>
        <w:spacing w:line="360" w:lineRule="auto"/>
        <w:jc w:val="center"/>
        <w:outlineLvl w:val="9"/>
        <w:rPr>
          <w:rFonts w:hint="eastAsia" w:ascii="宋体" w:hAnsi="宋体" w:cs="宋体"/>
          <w:b/>
          <w:color w:val="auto"/>
          <w:sz w:val="28"/>
          <w:szCs w:val="28"/>
          <w:highlight w:val="none"/>
        </w:rPr>
      </w:pPr>
    </w:p>
    <w:p w14:paraId="1E339376">
      <w:pPr>
        <w:spacing w:line="360" w:lineRule="auto"/>
        <w:jc w:val="center"/>
        <w:outlineLvl w:val="9"/>
        <w:rPr>
          <w:rFonts w:hint="eastAsia" w:ascii="宋体" w:hAnsi="宋体" w:cs="宋体"/>
          <w:b/>
          <w:color w:val="auto"/>
          <w:sz w:val="28"/>
          <w:szCs w:val="28"/>
          <w:highlight w:val="none"/>
        </w:rPr>
      </w:pPr>
    </w:p>
    <w:p w14:paraId="6C7CAEEC">
      <w:pPr>
        <w:spacing w:line="360" w:lineRule="auto"/>
        <w:jc w:val="center"/>
        <w:outlineLvl w:val="1"/>
        <w:rPr>
          <w:rFonts w:hint="eastAsia" w:ascii="宋体" w:hAnsi="宋体" w:cs="宋体"/>
          <w:b/>
          <w:color w:val="auto"/>
          <w:sz w:val="28"/>
          <w:szCs w:val="28"/>
          <w:highlight w:val="none"/>
        </w:rPr>
      </w:pPr>
      <w:r>
        <w:rPr>
          <w:rFonts w:hint="eastAsia" w:ascii="宋体" w:hAnsi="宋体" w:cs="宋体"/>
          <w:b/>
          <w:color w:val="auto"/>
          <w:sz w:val="28"/>
          <w:szCs w:val="28"/>
          <w:highlight w:val="none"/>
        </w:rPr>
        <w:t>二、授权委托书</w:t>
      </w:r>
    </w:p>
    <w:p w14:paraId="42748543">
      <w:pPr>
        <w:spacing w:line="440" w:lineRule="exact"/>
        <w:rPr>
          <w:rFonts w:hint="eastAsia" w:ascii="宋体" w:hAnsi="宋体" w:cs="宋体"/>
          <w:color w:val="auto"/>
          <w:sz w:val="24"/>
          <w:highlight w:val="none"/>
        </w:rPr>
      </w:pPr>
    </w:p>
    <w:p w14:paraId="3895D50D">
      <w:pPr>
        <w:topLinePunct/>
        <w:spacing w:line="56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本人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(姓名)系</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(供应商名称)的法定代表人，现委托</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(姓名)为我方代理人。代理人根据授权，以我方名义签署、澄清、说明、补正、递交、撤回、修改</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(项目名称)响应文件、签订合同和处理有关事宜，其法律后果由我方承担。</w:t>
      </w:r>
    </w:p>
    <w:p w14:paraId="3C61368B">
      <w:pPr>
        <w:spacing w:line="560" w:lineRule="exact"/>
        <w:rPr>
          <w:rFonts w:hint="eastAsia" w:ascii="宋体" w:hAnsi="宋体" w:cs="宋体"/>
          <w:color w:val="auto"/>
          <w:sz w:val="24"/>
          <w:highlight w:val="none"/>
        </w:rPr>
      </w:pPr>
      <w:r>
        <w:rPr>
          <w:rFonts w:hint="eastAsia" w:ascii="宋体" w:hAnsi="宋体" w:cs="宋体"/>
          <w:color w:val="auto"/>
          <w:sz w:val="24"/>
          <w:highlight w:val="none"/>
        </w:rPr>
        <w:t xml:space="preserve">    委托期限：</w:t>
      </w:r>
      <w:r>
        <w:rPr>
          <w:rFonts w:hint="eastAsia" w:ascii="宋体" w:hAnsi="宋体" w:cs="宋体"/>
          <w:color w:val="auto"/>
          <w:sz w:val="24"/>
          <w:highlight w:val="none"/>
          <w:u w:val="single"/>
        </w:rPr>
        <w:t>自授权委托之日起至签订合同之日止</w:t>
      </w:r>
      <w:r>
        <w:rPr>
          <w:rFonts w:hint="eastAsia" w:ascii="宋体" w:hAnsi="宋体" w:cs="宋体"/>
          <w:color w:val="auto"/>
          <w:sz w:val="24"/>
          <w:highlight w:val="none"/>
        </w:rPr>
        <w:t>。</w:t>
      </w:r>
    </w:p>
    <w:p w14:paraId="2AEF7031">
      <w:pPr>
        <w:spacing w:line="56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代理人无转委托权。</w:t>
      </w:r>
    </w:p>
    <w:p w14:paraId="27A3A04C">
      <w:pPr>
        <w:spacing w:line="560" w:lineRule="exact"/>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附：法定代表人及委托代理人身份证正反面复印件</w:t>
      </w:r>
    </w:p>
    <w:p w14:paraId="1455B5D1">
      <w:pPr>
        <w:spacing w:line="440" w:lineRule="exact"/>
        <w:rPr>
          <w:rFonts w:hint="eastAsia" w:ascii="宋体" w:hAnsi="宋体" w:cs="宋体"/>
          <w:color w:val="auto"/>
          <w:sz w:val="24"/>
          <w:highlight w:val="none"/>
        </w:rPr>
      </w:pPr>
    </w:p>
    <w:p w14:paraId="3C073F56">
      <w:pPr>
        <w:pStyle w:val="6"/>
        <w:rPr>
          <w:rFonts w:hint="eastAsia" w:ascii="宋体" w:hAnsi="宋体" w:cs="宋体"/>
          <w:color w:val="auto"/>
          <w:sz w:val="24"/>
          <w:highlight w:val="none"/>
        </w:rPr>
      </w:pPr>
    </w:p>
    <w:p w14:paraId="01E5C50D">
      <w:pPr>
        <w:spacing w:line="360" w:lineRule="auto"/>
        <w:ind w:left="3578" w:leftChars="1704"/>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rPr>
        <w:t>供应商：</w:t>
      </w:r>
      <w:r>
        <w:rPr>
          <w:rFonts w:hint="eastAsia" w:ascii="宋体" w:hAnsi="宋体" w:cs="宋体"/>
          <w:snapToGrid w:val="0"/>
          <w:color w:val="auto"/>
          <w:kern w:val="0"/>
          <w:sz w:val="24"/>
          <w:highlight w:val="none"/>
          <w:u w:val="single"/>
        </w:rPr>
        <w:t xml:space="preserve">                         </w:t>
      </w:r>
      <w:r>
        <w:rPr>
          <w:rFonts w:hint="eastAsia" w:ascii="宋体" w:hAnsi="宋体" w:cs="宋体"/>
          <w:snapToGrid w:val="0"/>
          <w:color w:val="auto"/>
          <w:kern w:val="0"/>
          <w:sz w:val="24"/>
          <w:highlight w:val="none"/>
        </w:rPr>
        <w:t>（单位公章）</w:t>
      </w:r>
    </w:p>
    <w:p w14:paraId="23E8F53B">
      <w:pPr>
        <w:spacing w:line="360" w:lineRule="auto"/>
        <w:ind w:left="3578" w:leftChars="1704"/>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rPr>
        <w:t>法定代表人：</w:t>
      </w:r>
      <w:r>
        <w:rPr>
          <w:rFonts w:hint="eastAsia" w:ascii="宋体" w:hAnsi="宋体" w:cs="宋体"/>
          <w:snapToGrid w:val="0"/>
          <w:color w:val="auto"/>
          <w:kern w:val="0"/>
          <w:sz w:val="24"/>
          <w:highlight w:val="none"/>
          <w:u w:val="single"/>
        </w:rPr>
        <w:t xml:space="preserve">                    </w:t>
      </w:r>
      <w:r>
        <w:rPr>
          <w:rFonts w:hint="eastAsia" w:ascii="宋体" w:hAnsi="宋体" w:cs="宋体"/>
          <w:snapToGrid w:val="0"/>
          <w:color w:val="auto"/>
          <w:kern w:val="0"/>
          <w:sz w:val="24"/>
          <w:highlight w:val="none"/>
        </w:rPr>
        <w:t>（签字或签章）</w:t>
      </w:r>
    </w:p>
    <w:p w14:paraId="4BBBF451">
      <w:pPr>
        <w:spacing w:line="360" w:lineRule="auto"/>
        <w:ind w:left="3578" w:leftChars="1704"/>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rPr>
        <w:t>身份证号码：</w:t>
      </w:r>
      <w:r>
        <w:rPr>
          <w:rFonts w:hint="eastAsia" w:ascii="宋体" w:hAnsi="宋体" w:cs="宋体"/>
          <w:snapToGrid w:val="0"/>
          <w:color w:val="auto"/>
          <w:kern w:val="0"/>
          <w:sz w:val="24"/>
          <w:highlight w:val="none"/>
          <w:u w:val="single"/>
        </w:rPr>
        <w:t xml:space="preserve">                       </w:t>
      </w:r>
    </w:p>
    <w:p w14:paraId="79C971AF">
      <w:pPr>
        <w:spacing w:line="360" w:lineRule="auto"/>
        <w:ind w:left="3578" w:leftChars="1704"/>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rPr>
        <w:t>委托代理人：</w:t>
      </w:r>
      <w:r>
        <w:rPr>
          <w:rFonts w:hint="eastAsia" w:ascii="宋体" w:hAnsi="宋体" w:cs="宋体"/>
          <w:snapToGrid w:val="0"/>
          <w:color w:val="auto"/>
          <w:kern w:val="0"/>
          <w:sz w:val="24"/>
          <w:highlight w:val="none"/>
          <w:u w:val="single"/>
        </w:rPr>
        <w:t xml:space="preserve">                       </w:t>
      </w:r>
      <w:r>
        <w:rPr>
          <w:rFonts w:hint="eastAsia" w:ascii="宋体" w:hAnsi="宋体" w:cs="宋体"/>
          <w:snapToGrid w:val="0"/>
          <w:color w:val="auto"/>
          <w:kern w:val="0"/>
          <w:sz w:val="24"/>
          <w:highlight w:val="none"/>
        </w:rPr>
        <w:t>（签字）</w:t>
      </w:r>
    </w:p>
    <w:p w14:paraId="0BE284BE">
      <w:pPr>
        <w:spacing w:line="360" w:lineRule="auto"/>
        <w:ind w:left="3578" w:leftChars="1704"/>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rPr>
        <w:t>身份证号码：</w:t>
      </w:r>
      <w:r>
        <w:rPr>
          <w:rFonts w:hint="eastAsia" w:ascii="宋体" w:hAnsi="宋体" w:cs="宋体"/>
          <w:snapToGrid w:val="0"/>
          <w:color w:val="auto"/>
          <w:kern w:val="0"/>
          <w:sz w:val="24"/>
          <w:highlight w:val="none"/>
          <w:u w:val="single"/>
        </w:rPr>
        <w:t xml:space="preserve">                       </w:t>
      </w:r>
    </w:p>
    <w:p w14:paraId="08FE8672">
      <w:pPr>
        <w:spacing w:line="360" w:lineRule="auto"/>
        <w:ind w:left="3578" w:leftChars="1704"/>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u w:val="single"/>
        </w:rPr>
        <w:t xml:space="preserve">        </w:t>
      </w:r>
      <w:r>
        <w:rPr>
          <w:rFonts w:hint="eastAsia" w:ascii="宋体" w:hAnsi="宋体" w:cs="宋体"/>
          <w:snapToGrid w:val="0"/>
          <w:color w:val="auto"/>
          <w:kern w:val="0"/>
          <w:sz w:val="24"/>
          <w:highlight w:val="none"/>
        </w:rPr>
        <w:t>年</w:t>
      </w:r>
      <w:r>
        <w:rPr>
          <w:rFonts w:hint="eastAsia" w:ascii="宋体" w:hAnsi="宋体" w:cs="宋体"/>
          <w:snapToGrid w:val="0"/>
          <w:color w:val="auto"/>
          <w:kern w:val="0"/>
          <w:sz w:val="24"/>
          <w:highlight w:val="none"/>
          <w:u w:val="single"/>
        </w:rPr>
        <w:t xml:space="preserve">        </w:t>
      </w:r>
      <w:r>
        <w:rPr>
          <w:rFonts w:hint="eastAsia" w:ascii="宋体" w:hAnsi="宋体" w:cs="宋体"/>
          <w:snapToGrid w:val="0"/>
          <w:color w:val="auto"/>
          <w:kern w:val="0"/>
          <w:sz w:val="24"/>
          <w:highlight w:val="none"/>
        </w:rPr>
        <w:t>月</w:t>
      </w:r>
      <w:r>
        <w:rPr>
          <w:rFonts w:hint="eastAsia" w:ascii="宋体" w:hAnsi="宋体" w:cs="宋体"/>
          <w:snapToGrid w:val="0"/>
          <w:color w:val="auto"/>
          <w:kern w:val="0"/>
          <w:sz w:val="24"/>
          <w:highlight w:val="none"/>
          <w:u w:val="single"/>
        </w:rPr>
        <w:t xml:space="preserve">        </w:t>
      </w:r>
      <w:r>
        <w:rPr>
          <w:rFonts w:hint="eastAsia" w:ascii="宋体" w:hAnsi="宋体" w:cs="宋体"/>
          <w:snapToGrid w:val="0"/>
          <w:color w:val="auto"/>
          <w:kern w:val="0"/>
          <w:sz w:val="24"/>
          <w:highlight w:val="none"/>
        </w:rPr>
        <w:t>日</w:t>
      </w:r>
    </w:p>
    <w:p w14:paraId="7D62B77D">
      <w:pPr>
        <w:numPr>
          <w:ilvl w:val="2"/>
          <w:numId w:val="0"/>
        </w:numPr>
        <w:adjustRightInd w:val="0"/>
        <w:snapToGrid w:val="0"/>
        <w:spacing w:line="360" w:lineRule="auto"/>
        <w:ind w:left="899" w:hanging="824" w:hangingChars="373"/>
        <w:rPr>
          <w:rFonts w:hint="eastAsia" w:ascii="宋体" w:hAnsi="宋体" w:cs="宋体"/>
          <w:b/>
          <w:bCs/>
          <w:snapToGrid w:val="0"/>
          <w:color w:val="auto"/>
          <w:kern w:val="0"/>
          <w:sz w:val="22"/>
          <w:szCs w:val="22"/>
          <w:highlight w:val="none"/>
        </w:rPr>
      </w:pPr>
    </w:p>
    <w:p w14:paraId="79F2D9AD">
      <w:pPr>
        <w:numPr>
          <w:ilvl w:val="2"/>
          <w:numId w:val="0"/>
        </w:numPr>
        <w:adjustRightInd w:val="0"/>
        <w:snapToGrid w:val="0"/>
        <w:spacing w:line="360" w:lineRule="auto"/>
        <w:ind w:left="899" w:hanging="824" w:hangingChars="373"/>
        <w:rPr>
          <w:rFonts w:hint="eastAsia" w:ascii="宋体" w:hAnsi="宋体" w:cs="宋体"/>
          <w:b/>
          <w:bCs/>
          <w:color w:val="auto"/>
          <w:sz w:val="22"/>
          <w:szCs w:val="22"/>
          <w:highlight w:val="none"/>
        </w:rPr>
      </w:pPr>
      <w:r>
        <w:rPr>
          <w:rFonts w:hint="eastAsia" w:ascii="宋体" w:hAnsi="宋体" w:cs="宋体"/>
          <w:b/>
          <w:bCs/>
          <w:snapToGrid w:val="0"/>
          <w:color w:val="auto"/>
          <w:kern w:val="0"/>
          <w:sz w:val="22"/>
          <w:szCs w:val="22"/>
          <w:highlight w:val="none"/>
        </w:rPr>
        <w:t>注：1、</w:t>
      </w:r>
      <w:r>
        <w:rPr>
          <w:rFonts w:hint="eastAsia" w:ascii="宋体" w:hAnsi="宋体" w:cs="宋体"/>
          <w:b/>
          <w:bCs/>
          <w:color w:val="auto"/>
          <w:sz w:val="22"/>
          <w:szCs w:val="22"/>
          <w:highlight w:val="none"/>
        </w:rPr>
        <w:t>授权委托书后应当附授权代表在报价前近3个月内（不含报价当月）任意1个月由报价供应商缴纳社保证明材料，代缴社保证明材料不予认可。</w:t>
      </w:r>
    </w:p>
    <w:p w14:paraId="7B7124CB">
      <w:pPr>
        <w:rPr>
          <w:rFonts w:hint="eastAsia" w:ascii="宋体" w:hAnsi="宋体" w:cs="宋体"/>
          <w:b/>
          <w:bCs/>
          <w:color w:val="auto"/>
          <w:sz w:val="22"/>
          <w:szCs w:val="22"/>
          <w:highlight w:val="none"/>
        </w:rPr>
      </w:pPr>
      <w:r>
        <w:rPr>
          <w:rFonts w:hint="eastAsia" w:ascii="宋体" w:hAnsi="宋体" w:cs="宋体"/>
          <w:color w:val="auto"/>
          <w:sz w:val="22"/>
          <w:szCs w:val="22"/>
          <w:highlight w:val="none"/>
        </w:rPr>
        <w:t>2、由委托代理人签署的响应文件不需提供法定代表人身份证明。</w:t>
      </w:r>
      <w:r>
        <w:rPr>
          <w:rFonts w:hint="eastAsia" w:ascii="宋体" w:hAnsi="宋体" w:cs="宋体"/>
          <w:b/>
          <w:bCs/>
          <w:color w:val="auto"/>
          <w:sz w:val="22"/>
          <w:szCs w:val="22"/>
          <w:highlight w:val="none"/>
        </w:rPr>
        <w:t xml:space="preserve"> </w:t>
      </w:r>
    </w:p>
    <w:p w14:paraId="2684E612">
      <w:pPr>
        <w:spacing w:line="360" w:lineRule="auto"/>
        <w:jc w:val="center"/>
        <w:outlineLvl w:val="1"/>
        <w:rPr>
          <w:rFonts w:hint="eastAsia" w:ascii="宋体" w:hAnsi="宋体" w:cs="宋体"/>
          <w:b/>
          <w:bCs/>
          <w:color w:val="auto"/>
          <w:sz w:val="28"/>
          <w:szCs w:val="28"/>
          <w:highlight w:val="none"/>
        </w:rPr>
      </w:pPr>
      <w:bookmarkStart w:id="19" w:name="_Toc2399"/>
      <w:bookmarkStart w:id="20" w:name="_Toc1902_WPSOffice_Level1"/>
      <w:bookmarkStart w:id="21" w:name="_Toc202_WPSOffice_Level1"/>
      <w:bookmarkStart w:id="22" w:name="_Toc18889"/>
      <w:r>
        <w:rPr>
          <w:rFonts w:hint="eastAsia" w:ascii="宋体" w:hAnsi="宋体" w:cs="宋体"/>
          <w:b/>
          <w:bCs/>
          <w:color w:val="auto"/>
          <w:sz w:val="28"/>
          <w:szCs w:val="28"/>
          <w:highlight w:val="none"/>
        </w:rPr>
        <w:t>三、报价表</w:t>
      </w:r>
    </w:p>
    <w:tbl>
      <w:tblPr>
        <w:tblStyle w:val="15"/>
        <w:tblW w:w="541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5"/>
        <w:gridCol w:w="2182"/>
        <w:gridCol w:w="2255"/>
        <w:gridCol w:w="560"/>
        <w:gridCol w:w="427"/>
        <w:gridCol w:w="1251"/>
        <w:gridCol w:w="1047"/>
        <w:gridCol w:w="497"/>
        <w:gridCol w:w="430"/>
      </w:tblGrid>
      <w:tr w14:paraId="4196A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jc w:val="center"/>
        </w:trPr>
        <w:tc>
          <w:tcPr>
            <w:tcW w:w="317" w:type="pct"/>
            <w:noWrap w:val="0"/>
            <w:vAlign w:val="center"/>
          </w:tcPr>
          <w:p w14:paraId="7EADB8F5">
            <w:pPr>
              <w:jc w:val="center"/>
              <w:rPr>
                <w:rFonts w:hint="eastAsia" w:ascii="Times New Roman" w:hAnsi="Times New Roman" w:eastAsia="方正仿宋_GBK"/>
                <w:color w:val="auto"/>
                <w:sz w:val="24"/>
                <w:highlight w:val="none"/>
                <w:lang w:bidi="ar"/>
              </w:rPr>
            </w:pPr>
            <w:r>
              <w:rPr>
                <w:rFonts w:hint="eastAsia" w:ascii="宋体" w:hAnsi="宋体" w:cs="宋体"/>
                <w:b/>
                <w:bCs/>
                <w:color w:val="auto"/>
                <w:szCs w:val="21"/>
                <w:highlight w:val="none"/>
              </w:rPr>
              <w:t>序号</w:t>
            </w:r>
          </w:p>
        </w:tc>
        <w:tc>
          <w:tcPr>
            <w:tcW w:w="1181" w:type="pct"/>
            <w:noWrap w:val="0"/>
            <w:vAlign w:val="center"/>
          </w:tcPr>
          <w:p w14:paraId="7BEB896F">
            <w:pPr>
              <w:jc w:val="center"/>
              <w:rPr>
                <w:rFonts w:hint="eastAsia" w:ascii="Times New Roman" w:hAnsi="Times New Roman" w:eastAsia="方正仿宋_GBK"/>
                <w:color w:val="auto"/>
                <w:sz w:val="24"/>
                <w:highlight w:val="none"/>
                <w:lang w:bidi="ar"/>
              </w:rPr>
            </w:pPr>
            <w:r>
              <w:rPr>
                <w:rFonts w:hint="eastAsia" w:ascii="宋体" w:hAnsi="宋体" w:cs="宋体"/>
                <w:b/>
                <w:bCs/>
                <w:color w:val="auto"/>
                <w:szCs w:val="21"/>
                <w:highlight w:val="none"/>
              </w:rPr>
              <w:t>名称</w:t>
            </w:r>
          </w:p>
        </w:tc>
        <w:tc>
          <w:tcPr>
            <w:tcW w:w="1221" w:type="pct"/>
            <w:noWrap w:val="0"/>
            <w:vAlign w:val="center"/>
          </w:tcPr>
          <w:p w14:paraId="262B94AE">
            <w:pPr>
              <w:snapToGrid w:val="0"/>
              <w:jc w:val="center"/>
              <w:rPr>
                <w:rFonts w:ascii="Times New Roman" w:hAnsi="Times New Roman" w:eastAsia="方正仿宋_GBK"/>
                <w:color w:val="auto"/>
                <w:sz w:val="24"/>
                <w:highlight w:val="none"/>
                <w:lang w:bidi="ar"/>
              </w:rPr>
            </w:pPr>
            <w:r>
              <w:rPr>
                <w:rFonts w:hint="eastAsia" w:ascii="宋体" w:hAnsi="宋体" w:cs="宋体"/>
                <w:b/>
                <w:bCs/>
                <w:color w:val="auto"/>
                <w:sz w:val="24"/>
                <w:highlight w:val="none"/>
              </w:rPr>
              <w:t>服务内容</w:t>
            </w:r>
          </w:p>
        </w:tc>
        <w:tc>
          <w:tcPr>
            <w:tcW w:w="303" w:type="pct"/>
            <w:noWrap w:val="0"/>
            <w:vAlign w:val="center"/>
          </w:tcPr>
          <w:p w14:paraId="211B1A93">
            <w:pPr>
              <w:jc w:val="center"/>
              <w:rPr>
                <w:rFonts w:hint="eastAsia" w:ascii="Times New Roman" w:hAnsi="Times New Roman" w:eastAsia="方正仿宋_GBK"/>
                <w:color w:val="auto"/>
                <w:sz w:val="24"/>
                <w:highlight w:val="none"/>
                <w:lang w:bidi="ar"/>
              </w:rPr>
            </w:pPr>
            <w:r>
              <w:rPr>
                <w:rFonts w:hint="eastAsia" w:ascii="宋体" w:hAnsi="宋体" w:cs="宋体"/>
                <w:b/>
                <w:bCs/>
                <w:color w:val="auto"/>
                <w:szCs w:val="21"/>
                <w:highlight w:val="none"/>
              </w:rPr>
              <w:t>数量</w:t>
            </w:r>
          </w:p>
        </w:tc>
        <w:tc>
          <w:tcPr>
            <w:tcW w:w="231" w:type="pct"/>
            <w:noWrap w:val="0"/>
            <w:vAlign w:val="center"/>
          </w:tcPr>
          <w:p w14:paraId="089C5A8A">
            <w:pPr>
              <w:jc w:val="center"/>
              <w:rPr>
                <w:rFonts w:hint="eastAsia" w:ascii="Times New Roman" w:hAnsi="Times New Roman" w:eastAsia="方正仿宋_GBK"/>
                <w:color w:val="auto"/>
                <w:sz w:val="24"/>
                <w:highlight w:val="none"/>
                <w:lang w:bidi="ar"/>
              </w:rPr>
            </w:pPr>
            <w:r>
              <w:rPr>
                <w:rFonts w:hint="eastAsia" w:ascii="宋体" w:hAnsi="宋体" w:cs="宋体"/>
                <w:b/>
                <w:bCs/>
                <w:color w:val="auto"/>
                <w:szCs w:val="21"/>
                <w:highlight w:val="none"/>
              </w:rPr>
              <w:t>单位</w:t>
            </w:r>
          </w:p>
        </w:tc>
        <w:tc>
          <w:tcPr>
            <w:tcW w:w="677" w:type="pct"/>
            <w:noWrap w:val="0"/>
            <w:vAlign w:val="center"/>
          </w:tcPr>
          <w:p w14:paraId="0F5C44E0">
            <w:pPr>
              <w:jc w:val="center"/>
              <w:rPr>
                <w:rFonts w:hint="eastAsia" w:ascii="宋体" w:hAnsi="宋体" w:cs="宋体"/>
                <w:b/>
                <w:bCs/>
                <w:color w:val="auto"/>
                <w:szCs w:val="21"/>
                <w:highlight w:val="none"/>
              </w:rPr>
            </w:pPr>
            <w:r>
              <w:rPr>
                <w:rFonts w:hint="eastAsia" w:ascii="宋体" w:hAnsi="宋体" w:cs="宋体"/>
                <w:b/>
                <w:bCs/>
                <w:color w:val="auto"/>
                <w:szCs w:val="21"/>
                <w:highlight w:val="none"/>
              </w:rPr>
              <w:t>含税单价（元）</w:t>
            </w:r>
          </w:p>
        </w:tc>
        <w:tc>
          <w:tcPr>
            <w:tcW w:w="567" w:type="pct"/>
            <w:noWrap w:val="0"/>
            <w:vAlign w:val="center"/>
          </w:tcPr>
          <w:p w14:paraId="469433E5">
            <w:pPr>
              <w:jc w:val="center"/>
              <w:rPr>
                <w:rFonts w:hint="eastAsia" w:ascii="宋体" w:hAnsi="宋体" w:cs="宋体"/>
                <w:b/>
                <w:bCs/>
                <w:color w:val="auto"/>
                <w:szCs w:val="21"/>
                <w:highlight w:val="none"/>
              </w:rPr>
            </w:pPr>
            <w:r>
              <w:rPr>
                <w:rFonts w:hint="eastAsia" w:ascii="宋体" w:hAnsi="宋体" w:cs="宋体"/>
                <w:b/>
                <w:bCs/>
                <w:color w:val="auto"/>
                <w:szCs w:val="21"/>
                <w:highlight w:val="none"/>
              </w:rPr>
              <w:t>含税合计（元）</w:t>
            </w:r>
          </w:p>
        </w:tc>
        <w:tc>
          <w:tcPr>
            <w:tcW w:w="269" w:type="pct"/>
            <w:noWrap w:val="0"/>
            <w:vAlign w:val="center"/>
          </w:tcPr>
          <w:p w14:paraId="4B4917BD">
            <w:pPr>
              <w:jc w:val="center"/>
              <w:rPr>
                <w:rFonts w:hint="eastAsia" w:ascii="Times New Roman" w:hAnsi="Times New Roman" w:eastAsia="方正仿宋_GBK"/>
                <w:color w:val="auto"/>
                <w:sz w:val="24"/>
                <w:highlight w:val="none"/>
                <w:lang w:bidi="ar"/>
              </w:rPr>
            </w:pPr>
            <w:r>
              <w:rPr>
                <w:rFonts w:hint="eastAsia" w:ascii="宋体" w:hAnsi="宋体" w:cs="宋体"/>
                <w:b/>
                <w:bCs/>
                <w:color w:val="auto"/>
                <w:szCs w:val="21"/>
                <w:highlight w:val="none"/>
              </w:rPr>
              <w:t>税率</w:t>
            </w:r>
          </w:p>
        </w:tc>
        <w:tc>
          <w:tcPr>
            <w:tcW w:w="231" w:type="pct"/>
            <w:noWrap w:val="0"/>
            <w:vAlign w:val="center"/>
          </w:tcPr>
          <w:p w14:paraId="2AD90673">
            <w:pPr>
              <w:jc w:val="center"/>
              <w:rPr>
                <w:rFonts w:hint="eastAsia" w:ascii="Times New Roman" w:hAnsi="Times New Roman" w:eastAsia="方正仿宋_GBK"/>
                <w:color w:val="auto"/>
                <w:sz w:val="24"/>
                <w:highlight w:val="none"/>
                <w:lang w:bidi="ar"/>
              </w:rPr>
            </w:pPr>
            <w:r>
              <w:rPr>
                <w:rFonts w:hint="eastAsia" w:ascii="宋体" w:hAnsi="宋体" w:cs="宋体"/>
                <w:b/>
                <w:bCs/>
                <w:color w:val="auto"/>
                <w:szCs w:val="21"/>
                <w:highlight w:val="none"/>
              </w:rPr>
              <w:t>备注</w:t>
            </w:r>
          </w:p>
        </w:tc>
      </w:tr>
      <w:tr w14:paraId="0344B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317" w:type="pct"/>
            <w:noWrap w:val="0"/>
            <w:vAlign w:val="center"/>
          </w:tcPr>
          <w:p w14:paraId="692F1B42">
            <w:pPr>
              <w:adjustRightInd w:val="0"/>
              <w:snapToGrid w:val="0"/>
              <w:jc w:val="center"/>
              <w:textAlignment w:val="center"/>
              <w:outlineLvl w:val="0"/>
              <w:rPr>
                <w:rFonts w:hint="eastAsia" w:ascii="宋体" w:hAnsi="宋体" w:cs="宋体"/>
                <w:color w:val="auto"/>
                <w:szCs w:val="21"/>
                <w:highlight w:val="none"/>
                <w:lang w:bidi="ar"/>
              </w:rPr>
            </w:pPr>
            <w:bookmarkStart w:id="23" w:name="_Toc717476074"/>
            <w:r>
              <w:rPr>
                <w:rFonts w:hint="eastAsia" w:ascii="宋体" w:hAnsi="宋体" w:cs="宋体"/>
                <w:color w:val="auto"/>
                <w:szCs w:val="21"/>
                <w:highlight w:val="none"/>
                <w:lang w:bidi="ar"/>
              </w:rPr>
              <w:t>1</w:t>
            </w:r>
            <w:bookmarkEnd w:id="23"/>
          </w:p>
        </w:tc>
        <w:tc>
          <w:tcPr>
            <w:tcW w:w="1181" w:type="pct"/>
            <w:noWrap w:val="0"/>
            <w:vAlign w:val="center"/>
          </w:tcPr>
          <w:p w14:paraId="383F47F9">
            <w:pPr>
              <w:spacing w:line="360" w:lineRule="auto"/>
              <w:jc w:val="center"/>
              <w:rPr>
                <w:rFonts w:hint="eastAsia" w:ascii="宋体" w:hAnsi="宋体" w:cs="宋体"/>
                <w:color w:val="auto"/>
                <w:szCs w:val="21"/>
                <w:highlight w:val="none"/>
                <w:lang w:bidi="ar"/>
              </w:rPr>
            </w:pPr>
            <w:r>
              <w:rPr>
                <w:rFonts w:hint="eastAsia" w:ascii="宋体" w:hAnsi="宋体" w:cs="宋体"/>
                <w:color w:val="auto"/>
                <w:szCs w:val="21"/>
                <w:highlight w:val="none"/>
                <w:lang w:bidi="ar"/>
              </w:rPr>
              <w:t>智能化招投标平台项目</w:t>
            </w:r>
          </w:p>
        </w:tc>
        <w:tc>
          <w:tcPr>
            <w:tcW w:w="1221" w:type="pct"/>
            <w:noWrap w:val="0"/>
            <w:vAlign w:val="center"/>
          </w:tcPr>
          <w:p w14:paraId="0FF27D50">
            <w:pPr>
              <w:spacing w:line="360" w:lineRule="auto"/>
              <w:jc w:val="center"/>
              <w:rPr>
                <w:rFonts w:hint="eastAsia"/>
                <w:color w:val="auto"/>
                <w:highlight w:val="none"/>
              </w:rPr>
            </w:pPr>
            <w:r>
              <w:rPr>
                <w:rFonts w:hint="eastAsia" w:ascii="Times New Roman" w:hAnsi="Times New Roman" w:cs="仿宋"/>
                <w:color w:val="auto"/>
                <w:sz w:val="24"/>
                <w:highlight w:val="none"/>
              </w:rPr>
              <w:t>详见技术要求</w:t>
            </w:r>
          </w:p>
        </w:tc>
        <w:tc>
          <w:tcPr>
            <w:tcW w:w="303" w:type="pct"/>
            <w:noWrap w:val="0"/>
            <w:vAlign w:val="center"/>
          </w:tcPr>
          <w:p w14:paraId="42D6DA00">
            <w:pPr>
              <w:adjustRightInd w:val="0"/>
              <w:snapToGrid w:val="0"/>
              <w:jc w:val="center"/>
              <w:textAlignment w:val="center"/>
              <w:outlineLvl w:val="0"/>
              <w:rPr>
                <w:rFonts w:hint="eastAsia" w:ascii="宋体" w:hAnsi="宋体" w:cs="宋体"/>
                <w:color w:val="auto"/>
                <w:szCs w:val="21"/>
                <w:highlight w:val="none"/>
                <w:lang w:bidi="ar"/>
              </w:rPr>
            </w:pPr>
            <w:bookmarkStart w:id="24" w:name="_Toc1692119860"/>
            <w:r>
              <w:rPr>
                <w:rFonts w:hint="eastAsia" w:ascii="宋体" w:hAnsi="宋体" w:cs="宋体"/>
                <w:color w:val="auto"/>
                <w:szCs w:val="21"/>
                <w:highlight w:val="none"/>
                <w:lang w:bidi="ar"/>
              </w:rPr>
              <w:t>1</w:t>
            </w:r>
            <w:bookmarkEnd w:id="24"/>
          </w:p>
        </w:tc>
        <w:tc>
          <w:tcPr>
            <w:tcW w:w="231" w:type="pct"/>
            <w:noWrap w:val="0"/>
            <w:vAlign w:val="center"/>
          </w:tcPr>
          <w:p w14:paraId="7F716E44">
            <w:pPr>
              <w:adjustRightInd w:val="0"/>
              <w:snapToGrid w:val="0"/>
              <w:jc w:val="center"/>
              <w:textAlignment w:val="center"/>
              <w:outlineLvl w:val="0"/>
              <w:rPr>
                <w:rFonts w:hint="eastAsia" w:ascii="宋体" w:hAnsi="宋体" w:eastAsia="宋体" w:cs="宋体"/>
                <w:color w:val="auto"/>
                <w:szCs w:val="21"/>
                <w:highlight w:val="none"/>
                <w:lang w:eastAsia="zh-CN" w:bidi="ar"/>
              </w:rPr>
            </w:pPr>
            <w:bookmarkStart w:id="25" w:name="_Toc1808232339"/>
            <w:r>
              <w:rPr>
                <w:rFonts w:hint="eastAsia" w:ascii="宋体" w:hAnsi="宋体" w:cs="宋体"/>
                <w:color w:val="auto"/>
                <w:szCs w:val="21"/>
                <w:highlight w:val="none"/>
                <w:lang w:val="en-US" w:eastAsia="zh-CN" w:bidi="ar"/>
              </w:rPr>
              <w:t>项</w:t>
            </w:r>
            <w:bookmarkEnd w:id="25"/>
          </w:p>
        </w:tc>
        <w:tc>
          <w:tcPr>
            <w:tcW w:w="677" w:type="pct"/>
            <w:noWrap w:val="0"/>
            <w:vAlign w:val="center"/>
          </w:tcPr>
          <w:p w14:paraId="7DAC0D2F">
            <w:pPr>
              <w:adjustRightInd w:val="0"/>
              <w:snapToGrid w:val="0"/>
              <w:jc w:val="center"/>
              <w:textAlignment w:val="center"/>
              <w:outlineLvl w:val="0"/>
              <w:rPr>
                <w:rFonts w:hint="eastAsia" w:ascii="宋体" w:hAnsi="宋体" w:cs="宋体"/>
                <w:color w:val="auto"/>
                <w:szCs w:val="21"/>
                <w:highlight w:val="none"/>
                <w:lang w:bidi="ar"/>
              </w:rPr>
            </w:pPr>
          </w:p>
        </w:tc>
        <w:tc>
          <w:tcPr>
            <w:tcW w:w="567" w:type="pct"/>
            <w:noWrap w:val="0"/>
            <w:vAlign w:val="center"/>
          </w:tcPr>
          <w:p w14:paraId="6E8C4795">
            <w:pPr>
              <w:adjustRightInd w:val="0"/>
              <w:snapToGrid w:val="0"/>
              <w:jc w:val="center"/>
              <w:textAlignment w:val="center"/>
              <w:outlineLvl w:val="0"/>
              <w:rPr>
                <w:rFonts w:hint="eastAsia" w:ascii="宋体" w:hAnsi="宋体" w:cs="宋体"/>
                <w:color w:val="auto"/>
                <w:szCs w:val="21"/>
                <w:highlight w:val="none"/>
                <w:lang w:bidi="ar"/>
              </w:rPr>
            </w:pPr>
          </w:p>
        </w:tc>
        <w:tc>
          <w:tcPr>
            <w:tcW w:w="269" w:type="pct"/>
            <w:noWrap w:val="0"/>
            <w:vAlign w:val="center"/>
          </w:tcPr>
          <w:p w14:paraId="46706468">
            <w:pPr>
              <w:adjustRightInd w:val="0"/>
              <w:snapToGrid w:val="0"/>
              <w:jc w:val="center"/>
              <w:textAlignment w:val="center"/>
              <w:outlineLvl w:val="0"/>
              <w:rPr>
                <w:rFonts w:hint="eastAsia" w:ascii="宋体" w:hAnsi="宋体" w:cs="宋体"/>
                <w:color w:val="auto"/>
                <w:szCs w:val="21"/>
                <w:highlight w:val="none"/>
                <w:lang w:bidi="ar"/>
              </w:rPr>
            </w:pPr>
            <w:bookmarkStart w:id="26" w:name="_Toc958539462"/>
            <w:r>
              <w:rPr>
                <w:rFonts w:hint="eastAsia" w:ascii="宋体" w:hAnsi="宋体" w:cs="宋体"/>
                <w:color w:val="auto"/>
                <w:szCs w:val="21"/>
                <w:highlight w:val="none"/>
                <w:lang w:bidi="ar"/>
              </w:rPr>
              <w:t>6%</w:t>
            </w:r>
            <w:bookmarkEnd w:id="26"/>
          </w:p>
        </w:tc>
        <w:tc>
          <w:tcPr>
            <w:tcW w:w="231" w:type="pct"/>
            <w:noWrap w:val="0"/>
            <w:vAlign w:val="center"/>
          </w:tcPr>
          <w:p w14:paraId="1073D126">
            <w:pPr>
              <w:adjustRightInd w:val="0"/>
              <w:snapToGrid w:val="0"/>
              <w:jc w:val="center"/>
              <w:textAlignment w:val="center"/>
              <w:outlineLvl w:val="0"/>
              <w:rPr>
                <w:rFonts w:hint="eastAsia" w:ascii="宋体" w:hAnsi="宋体" w:cs="宋体"/>
                <w:color w:val="auto"/>
                <w:szCs w:val="21"/>
                <w:highlight w:val="none"/>
                <w:lang w:bidi="ar"/>
              </w:rPr>
            </w:pPr>
          </w:p>
        </w:tc>
      </w:tr>
      <w:tr w14:paraId="65AC0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1498" w:type="pct"/>
            <w:gridSpan w:val="2"/>
            <w:noWrap w:val="0"/>
            <w:vAlign w:val="center"/>
          </w:tcPr>
          <w:p w14:paraId="252C2E7A">
            <w:pPr>
              <w:adjustRightInd w:val="0"/>
              <w:snapToGrid w:val="0"/>
              <w:jc w:val="center"/>
              <w:textAlignment w:val="center"/>
              <w:outlineLvl w:val="0"/>
              <w:rPr>
                <w:rFonts w:hint="eastAsia" w:ascii="宋体" w:hAnsi="宋体" w:cs="宋体"/>
                <w:color w:val="auto"/>
                <w:sz w:val="22"/>
                <w:szCs w:val="22"/>
                <w:highlight w:val="none"/>
              </w:rPr>
            </w:pPr>
            <w:bookmarkStart w:id="27" w:name="_Toc1669826238"/>
            <w:r>
              <w:rPr>
                <w:rFonts w:hint="eastAsia" w:ascii="宋体" w:hAnsi="宋体" w:cs="宋体"/>
                <w:color w:val="auto"/>
                <w:sz w:val="22"/>
                <w:szCs w:val="22"/>
                <w:highlight w:val="none"/>
              </w:rPr>
              <w:t>合计</w:t>
            </w:r>
            <w:bookmarkEnd w:id="27"/>
          </w:p>
        </w:tc>
        <w:tc>
          <w:tcPr>
            <w:tcW w:w="3501" w:type="pct"/>
            <w:gridSpan w:val="7"/>
            <w:noWrap w:val="0"/>
            <w:vAlign w:val="top"/>
          </w:tcPr>
          <w:p w14:paraId="23A9ACDD">
            <w:pPr>
              <w:adjustRightInd w:val="0"/>
              <w:snapToGrid w:val="0"/>
              <w:jc w:val="center"/>
              <w:textAlignment w:val="center"/>
              <w:outlineLvl w:val="0"/>
              <w:rPr>
                <w:rFonts w:hint="eastAsia" w:ascii="宋体" w:hAnsi="宋体" w:cs="宋体"/>
                <w:color w:val="auto"/>
                <w:szCs w:val="21"/>
                <w:highlight w:val="none"/>
                <w:lang w:bidi="ar"/>
              </w:rPr>
            </w:pPr>
          </w:p>
        </w:tc>
      </w:tr>
      <w:bookmarkEnd w:id="19"/>
      <w:bookmarkEnd w:id="20"/>
      <w:bookmarkEnd w:id="21"/>
      <w:bookmarkEnd w:id="22"/>
    </w:tbl>
    <w:p w14:paraId="3EF773FD">
      <w:pPr>
        <w:spacing w:after="120"/>
        <w:jc w:val="right"/>
        <w:rPr>
          <w:rFonts w:hint="eastAsia" w:ascii="宋体" w:hAnsi="宋体" w:cs="宋体"/>
          <w:color w:val="auto"/>
          <w:sz w:val="24"/>
          <w:highlight w:val="none"/>
        </w:rPr>
      </w:pPr>
    </w:p>
    <w:p w14:paraId="19634A9B">
      <w:pPr>
        <w:spacing w:after="120"/>
        <w:jc w:val="right"/>
        <w:rPr>
          <w:rFonts w:hint="eastAsia" w:ascii="宋体" w:hAnsi="宋体" w:cs="宋体"/>
          <w:color w:val="auto"/>
          <w:sz w:val="24"/>
          <w:highlight w:val="none"/>
        </w:rPr>
      </w:pPr>
      <w:r>
        <w:rPr>
          <w:rFonts w:hint="eastAsia" w:ascii="宋体" w:hAnsi="宋体" w:cs="宋体"/>
          <w:color w:val="auto"/>
          <w:sz w:val="24"/>
          <w:highlight w:val="none"/>
        </w:rPr>
        <w:t>报价人：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（公章）</w:t>
      </w:r>
    </w:p>
    <w:p w14:paraId="15013068">
      <w:pPr>
        <w:spacing w:after="120"/>
        <w:jc w:val="right"/>
        <w:rPr>
          <w:rFonts w:hint="eastAsia" w:ascii="宋体" w:hAnsi="宋体" w:cs="宋体"/>
          <w:color w:val="auto"/>
          <w:sz w:val="24"/>
          <w:highlight w:val="none"/>
        </w:rPr>
      </w:pPr>
    </w:p>
    <w:p w14:paraId="4D8EF629">
      <w:pPr>
        <w:pStyle w:val="6"/>
        <w:jc w:val="right"/>
        <w:rPr>
          <w:rFonts w:hint="eastAsia" w:ascii="宋体" w:hAnsi="宋体" w:cs="宋体"/>
          <w:color w:val="auto"/>
          <w:sz w:val="24"/>
          <w:highlight w:val="none"/>
        </w:rPr>
      </w:pPr>
      <w:r>
        <w:rPr>
          <w:rFonts w:hint="eastAsia" w:ascii="宋体" w:hAnsi="宋体" w:cs="宋体"/>
          <w:color w:val="auto"/>
          <w:sz w:val="24"/>
          <w:highlight w:val="none"/>
        </w:rPr>
        <w:t>日  期：</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p>
    <w:p w14:paraId="550F7EBE">
      <w:pPr>
        <w:pStyle w:val="6"/>
        <w:jc w:val="right"/>
        <w:rPr>
          <w:rFonts w:hint="eastAsia" w:ascii="宋体" w:hAnsi="宋体" w:cs="宋体"/>
          <w:color w:val="auto"/>
          <w:sz w:val="24"/>
          <w:highlight w:val="none"/>
        </w:rPr>
      </w:pPr>
    </w:p>
    <w:p w14:paraId="2F4247AE">
      <w:pPr>
        <w:pStyle w:val="6"/>
        <w:jc w:val="right"/>
        <w:rPr>
          <w:rFonts w:hint="eastAsia" w:ascii="宋体" w:hAnsi="宋体" w:cs="宋体"/>
          <w:color w:val="auto"/>
          <w:sz w:val="24"/>
          <w:highlight w:val="none"/>
        </w:rPr>
      </w:pPr>
    </w:p>
    <w:p w14:paraId="568028AE">
      <w:pPr>
        <w:pStyle w:val="6"/>
        <w:jc w:val="right"/>
        <w:rPr>
          <w:rFonts w:hint="eastAsia" w:ascii="宋体" w:hAnsi="宋体" w:cs="宋体"/>
          <w:color w:val="auto"/>
          <w:sz w:val="24"/>
          <w:highlight w:val="none"/>
        </w:rPr>
      </w:pPr>
    </w:p>
    <w:p w14:paraId="2852E64D">
      <w:pPr>
        <w:pStyle w:val="6"/>
        <w:jc w:val="right"/>
        <w:rPr>
          <w:rFonts w:hint="eastAsia" w:ascii="宋体" w:hAnsi="宋体" w:cs="宋体"/>
          <w:color w:val="auto"/>
          <w:sz w:val="24"/>
          <w:highlight w:val="none"/>
        </w:rPr>
      </w:pPr>
    </w:p>
    <w:p w14:paraId="22ECD41B">
      <w:pPr>
        <w:pStyle w:val="6"/>
        <w:jc w:val="right"/>
        <w:rPr>
          <w:rFonts w:hint="eastAsia" w:ascii="宋体" w:hAnsi="宋体" w:cs="宋体"/>
          <w:color w:val="auto"/>
          <w:sz w:val="24"/>
          <w:highlight w:val="none"/>
        </w:rPr>
      </w:pPr>
    </w:p>
    <w:p w14:paraId="2543DA88">
      <w:pPr>
        <w:pStyle w:val="6"/>
        <w:jc w:val="right"/>
        <w:rPr>
          <w:rFonts w:hint="eastAsia" w:ascii="宋体" w:hAnsi="宋体" w:cs="宋体"/>
          <w:color w:val="auto"/>
          <w:sz w:val="24"/>
          <w:highlight w:val="none"/>
        </w:rPr>
      </w:pPr>
    </w:p>
    <w:p w14:paraId="34665686">
      <w:pPr>
        <w:pStyle w:val="6"/>
        <w:jc w:val="right"/>
        <w:rPr>
          <w:rFonts w:hint="eastAsia" w:ascii="宋体" w:hAnsi="宋体" w:cs="宋体"/>
          <w:color w:val="auto"/>
          <w:sz w:val="24"/>
          <w:highlight w:val="none"/>
        </w:rPr>
      </w:pPr>
    </w:p>
    <w:p w14:paraId="5DB2B975">
      <w:pPr>
        <w:pStyle w:val="6"/>
        <w:jc w:val="right"/>
        <w:rPr>
          <w:rFonts w:hint="eastAsia" w:ascii="宋体" w:hAnsi="宋体" w:cs="宋体"/>
          <w:color w:val="auto"/>
          <w:sz w:val="24"/>
          <w:highlight w:val="none"/>
        </w:rPr>
      </w:pPr>
    </w:p>
    <w:p w14:paraId="481022AB">
      <w:pPr>
        <w:pStyle w:val="6"/>
        <w:jc w:val="right"/>
        <w:rPr>
          <w:rFonts w:hint="eastAsia" w:ascii="宋体" w:hAnsi="宋体" w:cs="宋体"/>
          <w:color w:val="auto"/>
          <w:sz w:val="24"/>
          <w:highlight w:val="none"/>
        </w:rPr>
      </w:pPr>
    </w:p>
    <w:p w14:paraId="4EC2990E">
      <w:pPr>
        <w:spacing w:line="360" w:lineRule="auto"/>
        <w:jc w:val="center"/>
        <w:outlineLvl w:val="1"/>
        <w:rPr>
          <w:rFonts w:hint="eastAsia" w:ascii="宋体" w:hAnsi="宋体" w:cs="宋体"/>
          <w:b/>
          <w:color w:val="auto"/>
          <w:sz w:val="28"/>
          <w:szCs w:val="28"/>
          <w:highlight w:val="none"/>
        </w:rPr>
      </w:pPr>
      <w:r>
        <w:rPr>
          <w:rFonts w:hint="eastAsia" w:ascii="宋体" w:hAnsi="宋体" w:cs="宋体"/>
          <w:b/>
          <w:color w:val="auto"/>
          <w:sz w:val="28"/>
          <w:szCs w:val="28"/>
          <w:highlight w:val="none"/>
        </w:rPr>
        <w:t>四、</w:t>
      </w:r>
      <w:r>
        <w:rPr>
          <w:rFonts w:hint="eastAsia" w:ascii="宋体" w:hAnsi="宋体" w:cs="宋体"/>
          <w:b/>
          <w:bCs/>
          <w:color w:val="auto"/>
          <w:sz w:val="28"/>
          <w:szCs w:val="28"/>
          <w:highlight w:val="none"/>
        </w:rPr>
        <w:t>商务和技术偏差表</w:t>
      </w:r>
    </w:p>
    <w:p w14:paraId="2A824EBB">
      <w:pPr>
        <w:spacing w:line="440" w:lineRule="exact"/>
        <w:rPr>
          <w:rFonts w:hint="eastAsia" w:ascii="宋体" w:hAnsi="宋体" w:cs="宋体"/>
          <w:b/>
          <w:color w:val="auto"/>
          <w:sz w:val="28"/>
          <w:szCs w:val="28"/>
          <w:highlight w:val="none"/>
        </w:rPr>
      </w:pPr>
    </w:p>
    <w:tbl>
      <w:tblPr>
        <w:tblStyle w:val="15"/>
        <w:tblW w:w="493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1"/>
        <w:gridCol w:w="2612"/>
        <w:gridCol w:w="2497"/>
        <w:gridCol w:w="2576"/>
      </w:tblGrid>
      <w:tr w14:paraId="327A8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7" w:hRule="atLeast"/>
          <w:jc w:val="center"/>
        </w:trPr>
        <w:tc>
          <w:tcPr>
            <w:tcW w:w="429" w:type="pct"/>
            <w:noWrap w:val="0"/>
            <w:vAlign w:val="center"/>
          </w:tcPr>
          <w:p w14:paraId="731901BF">
            <w:pPr>
              <w:pStyle w:val="9"/>
              <w:jc w:val="center"/>
              <w:rPr>
                <w:rFonts w:hint="eastAsia" w:hAnsi="宋体" w:cs="宋体"/>
                <w:b/>
                <w:color w:val="auto"/>
                <w:sz w:val="24"/>
                <w:szCs w:val="24"/>
                <w:highlight w:val="none"/>
              </w:rPr>
            </w:pPr>
            <w:r>
              <w:rPr>
                <w:rFonts w:hint="eastAsia" w:hAnsi="宋体" w:cs="宋体"/>
                <w:b/>
                <w:color w:val="auto"/>
                <w:sz w:val="24"/>
                <w:szCs w:val="24"/>
                <w:highlight w:val="none"/>
              </w:rPr>
              <w:t>序号</w:t>
            </w:r>
          </w:p>
        </w:tc>
        <w:tc>
          <w:tcPr>
            <w:tcW w:w="1553" w:type="pct"/>
            <w:noWrap w:val="0"/>
            <w:vAlign w:val="center"/>
          </w:tcPr>
          <w:p w14:paraId="49429E58">
            <w:pPr>
              <w:pStyle w:val="9"/>
              <w:jc w:val="center"/>
              <w:rPr>
                <w:rFonts w:hAnsi="宋体" w:cs="宋体"/>
                <w:b/>
                <w:color w:val="auto"/>
                <w:sz w:val="24"/>
                <w:szCs w:val="24"/>
                <w:highlight w:val="none"/>
              </w:rPr>
            </w:pPr>
            <w:r>
              <w:rPr>
                <w:rFonts w:hint="eastAsia" w:hAnsi="宋体" w:cs="宋体"/>
                <w:b/>
                <w:bCs/>
                <w:color w:val="auto"/>
                <w:sz w:val="24"/>
                <w:szCs w:val="24"/>
                <w:highlight w:val="none"/>
              </w:rPr>
              <w:t>询比文件章节及条款号</w:t>
            </w:r>
          </w:p>
        </w:tc>
        <w:tc>
          <w:tcPr>
            <w:tcW w:w="1485" w:type="pct"/>
            <w:noWrap w:val="0"/>
            <w:vAlign w:val="center"/>
          </w:tcPr>
          <w:p w14:paraId="122C1597">
            <w:pPr>
              <w:pStyle w:val="9"/>
              <w:jc w:val="center"/>
              <w:rPr>
                <w:rFonts w:hint="eastAsia" w:hAnsi="宋体" w:cs="宋体"/>
                <w:b/>
                <w:color w:val="auto"/>
                <w:sz w:val="24"/>
                <w:szCs w:val="24"/>
                <w:highlight w:val="none"/>
              </w:rPr>
            </w:pPr>
            <w:r>
              <w:rPr>
                <w:rFonts w:hint="eastAsia" w:hAnsi="宋体" w:cs="宋体"/>
                <w:b/>
                <w:bCs/>
                <w:color w:val="auto"/>
                <w:sz w:val="24"/>
                <w:szCs w:val="24"/>
                <w:highlight w:val="none"/>
              </w:rPr>
              <w:t>响应文件章节及条款号</w:t>
            </w:r>
          </w:p>
        </w:tc>
        <w:tc>
          <w:tcPr>
            <w:tcW w:w="1531" w:type="pct"/>
            <w:noWrap w:val="0"/>
            <w:vAlign w:val="center"/>
          </w:tcPr>
          <w:p w14:paraId="536F2B8C">
            <w:pPr>
              <w:pStyle w:val="9"/>
              <w:jc w:val="center"/>
              <w:rPr>
                <w:rFonts w:hAnsi="宋体" w:cs="宋体"/>
                <w:b/>
                <w:color w:val="auto"/>
                <w:sz w:val="24"/>
                <w:szCs w:val="24"/>
                <w:highlight w:val="none"/>
              </w:rPr>
            </w:pPr>
            <w:r>
              <w:rPr>
                <w:rFonts w:hint="eastAsia" w:hAnsi="宋体" w:cs="宋体"/>
                <w:b/>
                <w:color w:val="auto"/>
                <w:sz w:val="24"/>
                <w:szCs w:val="24"/>
                <w:highlight w:val="none"/>
              </w:rPr>
              <w:t>偏差说明</w:t>
            </w:r>
          </w:p>
        </w:tc>
      </w:tr>
      <w:tr w14:paraId="5115C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9" w:type="pct"/>
            <w:noWrap w:val="0"/>
            <w:vAlign w:val="center"/>
          </w:tcPr>
          <w:p w14:paraId="10AFBE6F">
            <w:pPr>
              <w:jc w:val="center"/>
              <w:rPr>
                <w:rFonts w:hint="eastAsia" w:ascii="宋体" w:hAnsi="宋体" w:cs="宋体"/>
                <w:color w:val="auto"/>
                <w:sz w:val="24"/>
                <w:highlight w:val="none"/>
              </w:rPr>
            </w:pPr>
            <w:r>
              <w:rPr>
                <w:rFonts w:hint="eastAsia" w:ascii="宋体" w:hAnsi="宋体" w:cs="宋体"/>
                <w:color w:val="auto"/>
                <w:sz w:val="24"/>
                <w:highlight w:val="none"/>
              </w:rPr>
              <w:t>1</w:t>
            </w:r>
          </w:p>
        </w:tc>
        <w:tc>
          <w:tcPr>
            <w:tcW w:w="1553" w:type="pct"/>
            <w:noWrap w:val="0"/>
            <w:vAlign w:val="center"/>
          </w:tcPr>
          <w:p w14:paraId="028C068B">
            <w:pPr>
              <w:jc w:val="center"/>
              <w:rPr>
                <w:rFonts w:hint="eastAsia" w:ascii="宋体" w:hAnsi="宋体" w:cs="宋体"/>
                <w:color w:val="auto"/>
                <w:sz w:val="24"/>
                <w:highlight w:val="none"/>
              </w:rPr>
            </w:pPr>
          </w:p>
        </w:tc>
        <w:tc>
          <w:tcPr>
            <w:tcW w:w="1485" w:type="pct"/>
            <w:noWrap w:val="0"/>
            <w:vAlign w:val="center"/>
          </w:tcPr>
          <w:p w14:paraId="6E6A96F8">
            <w:pPr>
              <w:jc w:val="center"/>
              <w:rPr>
                <w:rFonts w:hint="eastAsia" w:ascii="宋体" w:hAnsi="宋体" w:cs="宋体"/>
                <w:color w:val="auto"/>
                <w:sz w:val="24"/>
                <w:highlight w:val="none"/>
              </w:rPr>
            </w:pPr>
          </w:p>
        </w:tc>
        <w:tc>
          <w:tcPr>
            <w:tcW w:w="1531" w:type="pct"/>
            <w:noWrap w:val="0"/>
            <w:vAlign w:val="center"/>
          </w:tcPr>
          <w:p w14:paraId="1F2424C1">
            <w:pPr>
              <w:jc w:val="center"/>
              <w:rPr>
                <w:rFonts w:hint="eastAsia" w:ascii="宋体" w:hAnsi="宋体" w:cs="宋体"/>
                <w:color w:val="auto"/>
                <w:sz w:val="24"/>
                <w:highlight w:val="none"/>
              </w:rPr>
            </w:pPr>
          </w:p>
        </w:tc>
      </w:tr>
      <w:tr w14:paraId="15C0A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9" w:type="pct"/>
            <w:noWrap w:val="0"/>
            <w:vAlign w:val="center"/>
          </w:tcPr>
          <w:p w14:paraId="7764AC6B">
            <w:pPr>
              <w:jc w:val="center"/>
              <w:rPr>
                <w:rFonts w:hint="eastAsia" w:ascii="宋体" w:hAnsi="宋体" w:cs="宋体"/>
                <w:color w:val="auto"/>
                <w:sz w:val="24"/>
                <w:highlight w:val="none"/>
              </w:rPr>
            </w:pPr>
            <w:r>
              <w:rPr>
                <w:rFonts w:hint="eastAsia" w:ascii="宋体" w:hAnsi="宋体" w:cs="宋体"/>
                <w:color w:val="auto"/>
                <w:sz w:val="24"/>
                <w:highlight w:val="none"/>
              </w:rPr>
              <w:t>2</w:t>
            </w:r>
          </w:p>
        </w:tc>
        <w:tc>
          <w:tcPr>
            <w:tcW w:w="1553" w:type="pct"/>
            <w:noWrap w:val="0"/>
            <w:vAlign w:val="center"/>
          </w:tcPr>
          <w:p w14:paraId="4489D9FC">
            <w:pPr>
              <w:jc w:val="center"/>
              <w:rPr>
                <w:rFonts w:ascii="宋体" w:hAnsi="宋体" w:cs="宋体"/>
                <w:color w:val="auto"/>
                <w:sz w:val="24"/>
                <w:highlight w:val="none"/>
              </w:rPr>
            </w:pPr>
          </w:p>
        </w:tc>
        <w:tc>
          <w:tcPr>
            <w:tcW w:w="1485" w:type="pct"/>
            <w:noWrap w:val="0"/>
            <w:vAlign w:val="center"/>
          </w:tcPr>
          <w:p w14:paraId="19CC6E01">
            <w:pPr>
              <w:jc w:val="center"/>
              <w:rPr>
                <w:rFonts w:hint="eastAsia" w:ascii="宋体" w:hAnsi="宋体" w:cs="宋体"/>
                <w:color w:val="auto"/>
                <w:sz w:val="24"/>
                <w:highlight w:val="none"/>
              </w:rPr>
            </w:pPr>
          </w:p>
        </w:tc>
        <w:tc>
          <w:tcPr>
            <w:tcW w:w="1531" w:type="pct"/>
            <w:noWrap w:val="0"/>
            <w:vAlign w:val="center"/>
          </w:tcPr>
          <w:p w14:paraId="10C09CFE">
            <w:pPr>
              <w:jc w:val="center"/>
              <w:rPr>
                <w:rFonts w:hint="eastAsia" w:ascii="宋体" w:hAnsi="宋体" w:cs="宋体"/>
                <w:color w:val="auto"/>
                <w:sz w:val="24"/>
                <w:highlight w:val="none"/>
              </w:rPr>
            </w:pPr>
          </w:p>
        </w:tc>
      </w:tr>
      <w:tr w14:paraId="088C2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9" w:type="pct"/>
            <w:noWrap w:val="0"/>
            <w:vAlign w:val="center"/>
          </w:tcPr>
          <w:p w14:paraId="17F0C882">
            <w:pPr>
              <w:jc w:val="center"/>
              <w:rPr>
                <w:rFonts w:hint="eastAsia" w:ascii="宋体" w:hAnsi="宋体" w:cs="宋体"/>
                <w:color w:val="auto"/>
                <w:sz w:val="24"/>
                <w:highlight w:val="none"/>
              </w:rPr>
            </w:pPr>
            <w:r>
              <w:rPr>
                <w:rFonts w:hint="eastAsia" w:ascii="宋体" w:hAnsi="宋体" w:cs="宋体"/>
                <w:color w:val="auto"/>
                <w:sz w:val="24"/>
                <w:highlight w:val="none"/>
              </w:rPr>
              <w:t>3</w:t>
            </w:r>
          </w:p>
        </w:tc>
        <w:tc>
          <w:tcPr>
            <w:tcW w:w="1553" w:type="pct"/>
            <w:noWrap w:val="0"/>
            <w:vAlign w:val="center"/>
          </w:tcPr>
          <w:p w14:paraId="1DADFD0D">
            <w:pPr>
              <w:jc w:val="center"/>
              <w:rPr>
                <w:rFonts w:hint="eastAsia" w:ascii="宋体" w:hAnsi="宋体" w:cs="宋体"/>
                <w:color w:val="auto"/>
                <w:sz w:val="24"/>
                <w:highlight w:val="none"/>
              </w:rPr>
            </w:pPr>
          </w:p>
        </w:tc>
        <w:tc>
          <w:tcPr>
            <w:tcW w:w="1485" w:type="pct"/>
            <w:noWrap w:val="0"/>
            <w:vAlign w:val="center"/>
          </w:tcPr>
          <w:p w14:paraId="26CCA884">
            <w:pPr>
              <w:jc w:val="center"/>
              <w:rPr>
                <w:rFonts w:hint="eastAsia" w:ascii="宋体" w:hAnsi="宋体" w:cs="宋体"/>
                <w:color w:val="auto"/>
                <w:sz w:val="24"/>
                <w:highlight w:val="none"/>
              </w:rPr>
            </w:pPr>
          </w:p>
        </w:tc>
        <w:tc>
          <w:tcPr>
            <w:tcW w:w="1531" w:type="pct"/>
            <w:noWrap w:val="0"/>
            <w:vAlign w:val="center"/>
          </w:tcPr>
          <w:p w14:paraId="3CFEADB5">
            <w:pPr>
              <w:jc w:val="center"/>
              <w:rPr>
                <w:rFonts w:hint="eastAsia" w:ascii="宋体" w:hAnsi="宋体" w:cs="宋体"/>
                <w:color w:val="auto"/>
                <w:sz w:val="24"/>
                <w:highlight w:val="none"/>
              </w:rPr>
            </w:pPr>
          </w:p>
        </w:tc>
      </w:tr>
      <w:tr w14:paraId="283EF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9" w:type="pct"/>
            <w:noWrap w:val="0"/>
            <w:vAlign w:val="center"/>
          </w:tcPr>
          <w:p w14:paraId="5525EFBC">
            <w:pPr>
              <w:jc w:val="center"/>
              <w:rPr>
                <w:rFonts w:ascii="宋体" w:hAnsi="宋体" w:cs="宋体"/>
                <w:color w:val="auto"/>
                <w:sz w:val="24"/>
                <w:highlight w:val="none"/>
              </w:rPr>
            </w:pPr>
            <w:r>
              <w:rPr>
                <w:rFonts w:hint="eastAsia" w:ascii="宋体" w:hAnsi="宋体" w:cs="宋体"/>
                <w:color w:val="auto"/>
                <w:sz w:val="24"/>
                <w:highlight w:val="none"/>
              </w:rPr>
              <w:t>4</w:t>
            </w:r>
          </w:p>
        </w:tc>
        <w:tc>
          <w:tcPr>
            <w:tcW w:w="1553" w:type="pct"/>
            <w:noWrap w:val="0"/>
            <w:vAlign w:val="center"/>
          </w:tcPr>
          <w:p w14:paraId="6B375B2C">
            <w:pPr>
              <w:jc w:val="center"/>
              <w:rPr>
                <w:rFonts w:hint="eastAsia" w:ascii="宋体" w:hAnsi="宋体" w:cs="宋体"/>
                <w:color w:val="auto"/>
                <w:sz w:val="24"/>
                <w:highlight w:val="none"/>
              </w:rPr>
            </w:pPr>
          </w:p>
        </w:tc>
        <w:tc>
          <w:tcPr>
            <w:tcW w:w="1485" w:type="pct"/>
            <w:noWrap w:val="0"/>
            <w:vAlign w:val="center"/>
          </w:tcPr>
          <w:p w14:paraId="3AF8CFC8">
            <w:pPr>
              <w:jc w:val="center"/>
              <w:rPr>
                <w:rFonts w:hint="eastAsia" w:ascii="宋体" w:hAnsi="宋体" w:cs="宋体"/>
                <w:color w:val="auto"/>
                <w:sz w:val="24"/>
                <w:highlight w:val="none"/>
              </w:rPr>
            </w:pPr>
          </w:p>
        </w:tc>
        <w:tc>
          <w:tcPr>
            <w:tcW w:w="1531" w:type="pct"/>
            <w:noWrap w:val="0"/>
            <w:vAlign w:val="center"/>
          </w:tcPr>
          <w:p w14:paraId="1051E64C">
            <w:pPr>
              <w:jc w:val="center"/>
              <w:rPr>
                <w:rFonts w:hint="eastAsia" w:ascii="宋体" w:hAnsi="宋体" w:cs="宋体"/>
                <w:color w:val="auto"/>
                <w:sz w:val="24"/>
                <w:highlight w:val="none"/>
              </w:rPr>
            </w:pPr>
          </w:p>
        </w:tc>
      </w:tr>
      <w:tr w14:paraId="579CB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9" w:type="pct"/>
            <w:noWrap w:val="0"/>
            <w:vAlign w:val="center"/>
          </w:tcPr>
          <w:p w14:paraId="3AF97E2D">
            <w:pPr>
              <w:jc w:val="center"/>
              <w:rPr>
                <w:rFonts w:ascii="宋体" w:hAnsi="宋体" w:cs="宋体"/>
                <w:color w:val="auto"/>
                <w:sz w:val="24"/>
                <w:highlight w:val="none"/>
              </w:rPr>
            </w:pPr>
            <w:r>
              <w:rPr>
                <w:rFonts w:hint="eastAsia" w:ascii="宋体" w:hAnsi="宋体" w:cs="宋体"/>
                <w:color w:val="auto"/>
                <w:sz w:val="24"/>
                <w:highlight w:val="none"/>
              </w:rPr>
              <w:t>5</w:t>
            </w:r>
          </w:p>
        </w:tc>
        <w:tc>
          <w:tcPr>
            <w:tcW w:w="1553" w:type="pct"/>
            <w:noWrap w:val="0"/>
            <w:vAlign w:val="center"/>
          </w:tcPr>
          <w:p w14:paraId="40F3F144">
            <w:pPr>
              <w:jc w:val="center"/>
              <w:rPr>
                <w:rFonts w:hint="eastAsia" w:ascii="宋体" w:hAnsi="宋体" w:cs="宋体"/>
                <w:color w:val="auto"/>
                <w:sz w:val="24"/>
                <w:highlight w:val="none"/>
              </w:rPr>
            </w:pPr>
          </w:p>
        </w:tc>
        <w:tc>
          <w:tcPr>
            <w:tcW w:w="1485" w:type="pct"/>
            <w:noWrap w:val="0"/>
            <w:vAlign w:val="center"/>
          </w:tcPr>
          <w:p w14:paraId="49DCB025">
            <w:pPr>
              <w:jc w:val="center"/>
              <w:rPr>
                <w:rFonts w:hint="eastAsia" w:ascii="宋体" w:hAnsi="宋体" w:cs="宋体"/>
                <w:color w:val="auto"/>
                <w:sz w:val="24"/>
                <w:highlight w:val="none"/>
              </w:rPr>
            </w:pPr>
          </w:p>
        </w:tc>
        <w:tc>
          <w:tcPr>
            <w:tcW w:w="1531" w:type="pct"/>
            <w:noWrap w:val="0"/>
            <w:vAlign w:val="center"/>
          </w:tcPr>
          <w:p w14:paraId="6AF28B83">
            <w:pPr>
              <w:jc w:val="center"/>
              <w:rPr>
                <w:rFonts w:hint="eastAsia" w:ascii="宋体" w:hAnsi="宋体" w:cs="宋体"/>
                <w:color w:val="auto"/>
                <w:sz w:val="24"/>
                <w:highlight w:val="none"/>
              </w:rPr>
            </w:pPr>
          </w:p>
        </w:tc>
      </w:tr>
      <w:tr w14:paraId="7E561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9" w:type="pct"/>
            <w:noWrap w:val="0"/>
            <w:vAlign w:val="center"/>
          </w:tcPr>
          <w:p w14:paraId="37BAF87D">
            <w:pPr>
              <w:jc w:val="center"/>
              <w:rPr>
                <w:rFonts w:hint="eastAsia" w:ascii="宋体" w:hAnsi="宋体" w:cs="宋体"/>
                <w:color w:val="auto"/>
                <w:sz w:val="24"/>
                <w:highlight w:val="none"/>
              </w:rPr>
            </w:pPr>
            <w:r>
              <w:rPr>
                <w:rFonts w:hint="eastAsia" w:ascii="宋体" w:hAnsi="宋体" w:cs="宋体"/>
                <w:color w:val="auto"/>
                <w:sz w:val="24"/>
                <w:highlight w:val="none"/>
              </w:rPr>
              <w:t>…</w:t>
            </w:r>
          </w:p>
        </w:tc>
        <w:tc>
          <w:tcPr>
            <w:tcW w:w="1553" w:type="pct"/>
            <w:noWrap w:val="0"/>
            <w:vAlign w:val="center"/>
          </w:tcPr>
          <w:p w14:paraId="5A13B39D">
            <w:pPr>
              <w:jc w:val="center"/>
              <w:rPr>
                <w:rFonts w:hint="eastAsia" w:ascii="宋体" w:hAnsi="宋体" w:cs="宋体"/>
                <w:color w:val="auto"/>
                <w:sz w:val="24"/>
                <w:highlight w:val="none"/>
              </w:rPr>
            </w:pPr>
          </w:p>
        </w:tc>
        <w:tc>
          <w:tcPr>
            <w:tcW w:w="1485" w:type="pct"/>
            <w:noWrap w:val="0"/>
            <w:vAlign w:val="center"/>
          </w:tcPr>
          <w:p w14:paraId="2DE395FA">
            <w:pPr>
              <w:jc w:val="center"/>
              <w:rPr>
                <w:rFonts w:hint="eastAsia" w:ascii="宋体" w:hAnsi="宋体" w:cs="宋体"/>
                <w:color w:val="auto"/>
                <w:sz w:val="24"/>
                <w:highlight w:val="none"/>
              </w:rPr>
            </w:pPr>
          </w:p>
        </w:tc>
        <w:tc>
          <w:tcPr>
            <w:tcW w:w="1531" w:type="pct"/>
            <w:noWrap w:val="0"/>
            <w:vAlign w:val="center"/>
          </w:tcPr>
          <w:p w14:paraId="6757272A">
            <w:pPr>
              <w:jc w:val="center"/>
              <w:rPr>
                <w:rFonts w:hint="eastAsia" w:ascii="宋体" w:hAnsi="宋体" w:cs="宋体"/>
                <w:color w:val="auto"/>
                <w:sz w:val="24"/>
                <w:highlight w:val="none"/>
              </w:rPr>
            </w:pPr>
          </w:p>
        </w:tc>
      </w:tr>
    </w:tbl>
    <w:p w14:paraId="51578E29">
      <w:pPr>
        <w:pStyle w:val="6"/>
        <w:rPr>
          <w:rFonts w:hint="eastAsia"/>
          <w:color w:val="auto"/>
          <w:highlight w:val="none"/>
        </w:rPr>
      </w:pPr>
    </w:p>
    <w:p w14:paraId="75F25C8F">
      <w:pPr>
        <w:pStyle w:val="6"/>
        <w:rPr>
          <w:rFonts w:hint="eastAsia"/>
          <w:color w:val="auto"/>
          <w:sz w:val="24"/>
          <w:highlight w:val="none"/>
        </w:rPr>
      </w:pPr>
      <w:r>
        <w:rPr>
          <w:rFonts w:hint="eastAsia"/>
          <w:color w:val="auto"/>
          <w:sz w:val="24"/>
          <w:highlight w:val="none"/>
        </w:rPr>
        <w:t>报价人保证：除商务和技术偏差表列出的偏差外，报价人响应询比文件的全部要求。</w:t>
      </w:r>
    </w:p>
    <w:p w14:paraId="52460330">
      <w:pPr>
        <w:pStyle w:val="6"/>
        <w:rPr>
          <w:color w:val="auto"/>
          <w:sz w:val="24"/>
          <w:highlight w:val="none"/>
        </w:rPr>
      </w:pPr>
    </w:p>
    <w:p w14:paraId="79E4DF22">
      <w:pPr>
        <w:pStyle w:val="6"/>
        <w:rPr>
          <w:rFonts w:hint="eastAsia"/>
          <w:color w:val="auto"/>
          <w:sz w:val="24"/>
          <w:highlight w:val="none"/>
        </w:rPr>
      </w:pPr>
      <w:r>
        <w:rPr>
          <w:rFonts w:hint="eastAsia"/>
          <w:color w:val="auto"/>
          <w:sz w:val="24"/>
          <w:highlight w:val="none"/>
        </w:rPr>
        <w:t>本表如不填写，视为报价人响应询比文件的全部要求。</w:t>
      </w:r>
    </w:p>
    <w:p w14:paraId="55473FC9">
      <w:pPr>
        <w:pStyle w:val="6"/>
        <w:rPr>
          <w:rFonts w:hint="eastAsia"/>
          <w:color w:val="auto"/>
          <w:highlight w:val="none"/>
        </w:rPr>
      </w:pPr>
    </w:p>
    <w:p w14:paraId="20043E5C">
      <w:pPr>
        <w:pStyle w:val="6"/>
        <w:rPr>
          <w:rFonts w:hint="eastAsia"/>
          <w:color w:val="auto"/>
          <w:highlight w:val="none"/>
        </w:rPr>
      </w:pPr>
    </w:p>
    <w:p w14:paraId="554A1A73">
      <w:pPr>
        <w:spacing w:after="120"/>
        <w:jc w:val="right"/>
        <w:rPr>
          <w:rFonts w:hint="eastAsia" w:ascii="宋体" w:hAnsi="宋体" w:cs="宋体"/>
          <w:color w:val="auto"/>
          <w:sz w:val="24"/>
          <w:highlight w:val="none"/>
        </w:rPr>
      </w:pPr>
      <w:r>
        <w:rPr>
          <w:rFonts w:hint="eastAsia" w:ascii="宋体" w:hAnsi="宋体" w:cs="宋体"/>
          <w:color w:val="auto"/>
          <w:sz w:val="24"/>
          <w:highlight w:val="none"/>
        </w:rPr>
        <w:t>供应商：</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（公章）</w:t>
      </w:r>
    </w:p>
    <w:p w14:paraId="37CCC0EE">
      <w:pPr>
        <w:pStyle w:val="6"/>
        <w:jc w:val="right"/>
        <w:rPr>
          <w:rFonts w:hint="eastAsia" w:ascii="宋体" w:hAnsi="宋体" w:cs="宋体"/>
          <w:b/>
          <w:bCs/>
          <w:color w:val="auto"/>
          <w:sz w:val="24"/>
          <w:highlight w:val="none"/>
        </w:rPr>
      </w:pPr>
      <w:r>
        <w:rPr>
          <w:rFonts w:hint="eastAsia" w:ascii="宋体" w:hAnsi="宋体" w:cs="宋体"/>
          <w:color w:val="auto"/>
          <w:sz w:val="24"/>
          <w:highlight w:val="none"/>
        </w:rPr>
        <w:t>日  期：</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r>
        <w:rPr>
          <w:rFonts w:hint="eastAsia" w:ascii="宋体" w:hAnsi="宋体" w:cs="宋体"/>
          <w:b/>
          <w:bCs/>
          <w:color w:val="auto"/>
          <w:sz w:val="24"/>
          <w:highlight w:val="none"/>
        </w:rPr>
        <w:t xml:space="preserve">  </w:t>
      </w:r>
    </w:p>
    <w:p w14:paraId="7B2DDF02">
      <w:pPr>
        <w:pStyle w:val="6"/>
        <w:jc w:val="right"/>
        <w:rPr>
          <w:rFonts w:hint="eastAsia" w:ascii="宋体" w:hAnsi="宋体" w:cs="宋体"/>
          <w:b/>
          <w:bCs/>
          <w:color w:val="auto"/>
          <w:sz w:val="24"/>
          <w:highlight w:val="none"/>
        </w:rPr>
      </w:pPr>
    </w:p>
    <w:p w14:paraId="5B097A7B">
      <w:pPr>
        <w:pStyle w:val="6"/>
        <w:jc w:val="right"/>
        <w:rPr>
          <w:rFonts w:hint="eastAsia" w:ascii="宋体" w:hAnsi="宋体" w:cs="宋体"/>
          <w:b/>
          <w:bCs/>
          <w:color w:val="auto"/>
          <w:sz w:val="24"/>
          <w:highlight w:val="none"/>
        </w:rPr>
      </w:pPr>
    </w:p>
    <w:p w14:paraId="0125AB65">
      <w:pPr>
        <w:pStyle w:val="6"/>
        <w:jc w:val="right"/>
        <w:rPr>
          <w:rFonts w:hint="eastAsia" w:ascii="宋体" w:hAnsi="宋体" w:cs="宋体"/>
          <w:b/>
          <w:bCs/>
          <w:color w:val="auto"/>
          <w:sz w:val="24"/>
          <w:highlight w:val="none"/>
        </w:rPr>
      </w:pPr>
    </w:p>
    <w:p w14:paraId="0472EC48">
      <w:pPr>
        <w:widowControl/>
        <w:spacing w:line="360" w:lineRule="auto"/>
        <w:jc w:val="center"/>
        <w:outlineLvl w:val="1"/>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五、资格审查资料</w:t>
      </w:r>
    </w:p>
    <w:p w14:paraId="363FD564">
      <w:pPr>
        <w:pStyle w:val="4"/>
        <w:numPr>
          <w:ilvl w:val="0"/>
          <w:numId w:val="0"/>
        </w:numPr>
        <w:spacing w:before="312" w:after="312" w:line="480" w:lineRule="auto"/>
        <w:rPr>
          <w:rFonts w:hint="eastAsia"/>
          <w:color w:val="auto"/>
          <w:highlight w:val="none"/>
        </w:rPr>
      </w:pPr>
      <w:r>
        <w:rPr>
          <w:rFonts w:hint="eastAsia" w:eastAsia="宋体" w:cs="宋体"/>
          <w:b w:val="0"/>
          <w:color w:val="auto"/>
          <w:szCs w:val="24"/>
          <w:highlight w:val="none"/>
        </w:rPr>
        <w:t>1、供应商基本情况</w:t>
      </w:r>
    </w:p>
    <w:tbl>
      <w:tblPr>
        <w:tblStyle w:val="15"/>
        <w:tblW w:w="862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20"/>
        <w:gridCol w:w="1087"/>
        <w:gridCol w:w="2173"/>
        <w:gridCol w:w="1084"/>
        <w:gridCol w:w="2356"/>
      </w:tblGrid>
      <w:tr w14:paraId="1EAE59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trPr>
        <w:tc>
          <w:tcPr>
            <w:tcW w:w="1920" w:type="dxa"/>
            <w:tcBorders>
              <w:top w:val="single" w:color="auto" w:sz="4" w:space="0"/>
              <w:left w:val="single" w:color="auto" w:sz="4" w:space="0"/>
              <w:bottom w:val="single" w:color="auto" w:sz="4" w:space="0"/>
              <w:right w:val="single" w:color="auto" w:sz="4" w:space="0"/>
            </w:tcBorders>
            <w:noWrap w:val="0"/>
            <w:vAlign w:val="center"/>
          </w:tcPr>
          <w:p w14:paraId="23A0F1F2">
            <w:pPr>
              <w:topLinePunct/>
              <w:spacing w:line="440" w:lineRule="exact"/>
              <w:jc w:val="center"/>
              <w:rPr>
                <w:rFonts w:ascii="Times New Roman" w:hAnsi="Times New Roman"/>
                <w:color w:val="auto"/>
                <w:szCs w:val="21"/>
                <w:highlight w:val="none"/>
              </w:rPr>
            </w:pPr>
            <w:r>
              <w:rPr>
                <w:rFonts w:ascii="Times New Roman" w:hAnsi="Times New Roman"/>
                <w:color w:val="auto"/>
                <w:szCs w:val="21"/>
                <w:highlight w:val="none"/>
              </w:rPr>
              <w:t>供应商名称</w:t>
            </w:r>
          </w:p>
        </w:tc>
        <w:tc>
          <w:tcPr>
            <w:tcW w:w="6700" w:type="dxa"/>
            <w:gridSpan w:val="4"/>
            <w:tcBorders>
              <w:top w:val="single" w:color="auto" w:sz="4" w:space="0"/>
              <w:left w:val="single" w:color="auto" w:sz="4" w:space="0"/>
              <w:bottom w:val="single" w:color="auto" w:sz="4" w:space="0"/>
              <w:right w:val="single" w:color="auto" w:sz="4" w:space="0"/>
            </w:tcBorders>
            <w:noWrap w:val="0"/>
            <w:vAlign w:val="center"/>
          </w:tcPr>
          <w:p w14:paraId="5D29C455">
            <w:pPr>
              <w:topLinePunct/>
              <w:spacing w:line="440" w:lineRule="exact"/>
              <w:jc w:val="center"/>
              <w:rPr>
                <w:rFonts w:ascii="Times New Roman" w:hAnsi="Times New Roman"/>
                <w:color w:val="auto"/>
                <w:szCs w:val="21"/>
                <w:highlight w:val="none"/>
              </w:rPr>
            </w:pPr>
          </w:p>
        </w:tc>
      </w:tr>
      <w:tr w14:paraId="284E71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trPr>
        <w:tc>
          <w:tcPr>
            <w:tcW w:w="1920" w:type="dxa"/>
            <w:tcBorders>
              <w:top w:val="single" w:color="auto" w:sz="4" w:space="0"/>
              <w:left w:val="single" w:color="auto" w:sz="4" w:space="0"/>
              <w:bottom w:val="single" w:color="auto" w:sz="4" w:space="0"/>
              <w:right w:val="single" w:color="auto" w:sz="4" w:space="0"/>
            </w:tcBorders>
            <w:noWrap w:val="0"/>
            <w:vAlign w:val="center"/>
          </w:tcPr>
          <w:p w14:paraId="2A55BC6B">
            <w:pPr>
              <w:topLinePunct/>
              <w:spacing w:line="440" w:lineRule="exact"/>
              <w:jc w:val="center"/>
              <w:rPr>
                <w:rFonts w:ascii="Times New Roman" w:hAnsi="Times New Roman"/>
                <w:color w:val="auto"/>
                <w:szCs w:val="21"/>
                <w:highlight w:val="none"/>
              </w:rPr>
            </w:pPr>
            <w:r>
              <w:rPr>
                <w:rFonts w:ascii="Times New Roman" w:hAnsi="Times New Roman"/>
                <w:color w:val="auto"/>
                <w:szCs w:val="21"/>
                <w:highlight w:val="none"/>
              </w:rPr>
              <w:t>注册地址</w:t>
            </w:r>
          </w:p>
        </w:tc>
        <w:tc>
          <w:tcPr>
            <w:tcW w:w="3260" w:type="dxa"/>
            <w:gridSpan w:val="2"/>
            <w:tcBorders>
              <w:top w:val="single" w:color="auto" w:sz="4" w:space="0"/>
              <w:left w:val="single" w:color="auto" w:sz="4" w:space="0"/>
              <w:bottom w:val="single" w:color="auto" w:sz="4" w:space="0"/>
              <w:right w:val="single" w:color="auto" w:sz="4" w:space="0"/>
            </w:tcBorders>
            <w:noWrap w:val="0"/>
            <w:vAlign w:val="center"/>
          </w:tcPr>
          <w:p w14:paraId="2599E771">
            <w:pPr>
              <w:topLinePunct/>
              <w:spacing w:line="440" w:lineRule="exact"/>
              <w:jc w:val="center"/>
              <w:rPr>
                <w:rFonts w:ascii="Times New Roman" w:hAnsi="Times New Roman"/>
                <w:color w:val="auto"/>
                <w:szCs w:val="21"/>
                <w:highlight w:val="none"/>
              </w:rPr>
            </w:pPr>
          </w:p>
        </w:tc>
        <w:tc>
          <w:tcPr>
            <w:tcW w:w="1084" w:type="dxa"/>
            <w:tcBorders>
              <w:top w:val="single" w:color="auto" w:sz="4" w:space="0"/>
              <w:left w:val="single" w:color="auto" w:sz="4" w:space="0"/>
              <w:bottom w:val="single" w:color="auto" w:sz="4" w:space="0"/>
              <w:right w:val="single" w:color="auto" w:sz="4" w:space="0"/>
            </w:tcBorders>
            <w:noWrap w:val="0"/>
            <w:vAlign w:val="center"/>
          </w:tcPr>
          <w:p w14:paraId="700753B7">
            <w:pPr>
              <w:topLinePunct/>
              <w:spacing w:line="440" w:lineRule="exact"/>
              <w:jc w:val="center"/>
              <w:rPr>
                <w:rFonts w:ascii="Times New Roman" w:hAnsi="Times New Roman"/>
                <w:color w:val="auto"/>
                <w:szCs w:val="21"/>
                <w:highlight w:val="none"/>
              </w:rPr>
            </w:pPr>
            <w:r>
              <w:rPr>
                <w:rFonts w:ascii="Times New Roman" w:hAnsi="Times New Roman"/>
                <w:color w:val="auto"/>
                <w:szCs w:val="21"/>
                <w:highlight w:val="none"/>
              </w:rPr>
              <w:t>电 话</w:t>
            </w:r>
          </w:p>
        </w:tc>
        <w:tc>
          <w:tcPr>
            <w:tcW w:w="2356" w:type="dxa"/>
            <w:tcBorders>
              <w:top w:val="single" w:color="auto" w:sz="4" w:space="0"/>
              <w:left w:val="single" w:color="auto" w:sz="4" w:space="0"/>
              <w:bottom w:val="single" w:color="auto" w:sz="4" w:space="0"/>
              <w:right w:val="single" w:color="auto" w:sz="4" w:space="0"/>
            </w:tcBorders>
            <w:noWrap w:val="0"/>
            <w:vAlign w:val="center"/>
          </w:tcPr>
          <w:p w14:paraId="2A88747C">
            <w:pPr>
              <w:topLinePunct/>
              <w:spacing w:line="440" w:lineRule="exact"/>
              <w:jc w:val="center"/>
              <w:rPr>
                <w:rFonts w:ascii="Times New Roman" w:hAnsi="Times New Roman"/>
                <w:color w:val="auto"/>
                <w:szCs w:val="21"/>
                <w:highlight w:val="none"/>
              </w:rPr>
            </w:pPr>
          </w:p>
        </w:tc>
      </w:tr>
      <w:tr w14:paraId="28A024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trPr>
        <w:tc>
          <w:tcPr>
            <w:tcW w:w="1920" w:type="dxa"/>
            <w:vMerge w:val="restart"/>
            <w:tcBorders>
              <w:top w:val="single" w:color="auto" w:sz="4" w:space="0"/>
              <w:left w:val="single" w:color="auto" w:sz="4" w:space="0"/>
              <w:bottom w:val="single" w:color="auto" w:sz="4" w:space="0"/>
              <w:right w:val="single" w:color="auto" w:sz="4" w:space="0"/>
            </w:tcBorders>
            <w:noWrap w:val="0"/>
            <w:vAlign w:val="center"/>
          </w:tcPr>
          <w:p w14:paraId="18DEF366">
            <w:pPr>
              <w:topLinePunct/>
              <w:spacing w:line="440" w:lineRule="exact"/>
              <w:jc w:val="center"/>
              <w:rPr>
                <w:rFonts w:ascii="Times New Roman" w:hAnsi="Times New Roman"/>
                <w:color w:val="auto"/>
                <w:szCs w:val="21"/>
                <w:highlight w:val="none"/>
              </w:rPr>
            </w:pPr>
            <w:r>
              <w:rPr>
                <w:rFonts w:ascii="Times New Roman" w:hAnsi="Times New Roman"/>
                <w:color w:val="auto"/>
                <w:szCs w:val="21"/>
                <w:highlight w:val="none"/>
              </w:rPr>
              <w:t>联系方式</w:t>
            </w:r>
          </w:p>
        </w:tc>
        <w:tc>
          <w:tcPr>
            <w:tcW w:w="1087" w:type="dxa"/>
            <w:tcBorders>
              <w:top w:val="single" w:color="auto" w:sz="4" w:space="0"/>
              <w:left w:val="single" w:color="auto" w:sz="4" w:space="0"/>
              <w:bottom w:val="single" w:color="auto" w:sz="4" w:space="0"/>
              <w:right w:val="single" w:color="auto" w:sz="4" w:space="0"/>
            </w:tcBorders>
            <w:noWrap w:val="0"/>
            <w:vAlign w:val="center"/>
          </w:tcPr>
          <w:p w14:paraId="11FCEBC7">
            <w:pPr>
              <w:topLinePunct/>
              <w:spacing w:line="440" w:lineRule="exact"/>
              <w:jc w:val="center"/>
              <w:rPr>
                <w:rFonts w:ascii="Times New Roman" w:hAnsi="Times New Roman"/>
                <w:color w:val="auto"/>
                <w:szCs w:val="21"/>
                <w:highlight w:val="none"/>
              </w:rPr>
            </w:pPr>
            <w:r>
              <w:rPr>
                <w:rFonts w:ascii="Times New Roman" w:hAnsi="Times New Roman"/>
                <w:color w:val="auto"/>
                <w:szCs w:val="21"/>
                <w:highlight w:val="none"/>
              </w:rPr>
              <w:t>联系人</w:t>
            </w:r>
          </w:p>
        </w:tc>
        <w:tc>
          <w:tcPr>
            <w:tcW w:w="2173" w:type="dxa"/>
            <w:tcBorders>
              <w:top w:val="single" w:color="auto" w:sz="4" w:space="0"/>
              <w:left w:val="single" w:color="auto" w:sz="4" w:space="0"/>
              <w:bottom w:val="single" w:color="auto" w:sz="4" w:space="0"/>
              <w:right w:val="single" w:color="auto" w:sz="4" w:space="0"/>
            </w:tcBorders>
            <w:noWrap w:val="0"/>
            <w:vAlign w:val="center"/>
          </w:tcPr>
          <w:p w14:paraId="39785443">
            <w:pPr>
              <w:topLinePunct/>
              <w:spacing w:line="440" w:lineRule="exact"/>
              <w:jc w:val="center"/>
              <w:rPr>
                <w:rFonts w:ascii="Times New Roman" w:hAnsi="Times New Roman"/>
                <w:color w:val="auto"/>
                <w:szCs w:val="21"/>
                <w:highlight w:val="none"/>
              </w:rPr>
            </w:pPr>
          </w:p>
        </w:tc>
        <w:tc>
          <w:tcPr>
            <w:tcW w:w="1084" w:type="dxa"/>
            <w:tcBorders>
              <w:top w:val="single" w:color="auto" w:sz="4" w:space="0"/>
              <w:left w:val="single" w:color="auto" w:sz="4" w:space="0"/>
              <w:bottom w:val="single" w:color="auto" w:sz="4" w:space="0"/>
              <w:right w:val="single" w:color="auto" w:sz="4" w:space="0"/>
            </w:tcBorders>
            <w:noWrap w:val="0"/>
            <w:vAlign w:val="center"/>
          </w:tcPr>
          <w:p w14:paraId="0463D796">
            <w:pPr>
              <w:topLinePunct/>
              <w:spacing w:line="440" w:lineRule="exact"/>
              <w:jc w:val="center"/>
              <w:rPr>
                <w:rFonts w:ascii="Times New Roman" w:hAnsi="Times New Roman"/>
                <w:color w:val="auto"/>
                <w:szCs w:val="21"/>
                <w:highlight w:val="none"/>
              </w:rPr>
            </w:pPr>
            <w:r>
              <w:rPr>
                <w:rFonts w:ascii="Times New Roman" w:hAnsi="Times New Roman"/>
                <w:color w:val="auto"/>
                <w:szCs w:val="21"/>
                <w:highlight w:val="none"/>
              </w:rPr>
              <w:t>电</w:t>
            </w:r>
            <w:r>
              <w:rPr>
                <w:rFonts w:hint="eastAsia" w:ascii="Times New Roman" w:hAnsi="Times New Roman"/>
                <w:color w:val="auto"/>
                <w:szCs w:val="21"/>
                <w:highlight w:val="none"/>
              </w:rPr>
              <w:t xml:space="preserve"> </w:t>
            </w:r>
            <w:r>
              <w:rPr>
                <w:rFonts w:ascii="Times New Roman" w:hAnsi="Times New Roman"/>
                <w:color w:val="auto"/>
                <w:szCs w:val="21"/>
                <w:highlight w:val="none"/>
              </w:rPr>
              <w:t>话</w:t>
            </w:r>
          </w:p>
        </w:tc>
        <w:tc>
          <w:tcPr>
            <w:tcW w:w="2356" w:type="dxa"/>
            <w:tcBorders>
              <w:top w:val="single" w:color="auto" w:sz="4" w:space="0"/>
              <w:left w:val="single" w:color="auto" w:sz="4" w:space="0"/>
              <w:bottom w:val="single" w:color="auto" w:sz="4" w:space="0"/>
              <w:right w:val="single" w:color="auto" w:sz="4" w:space="0"/>
            </w:tcBorders>
            <w:noWrap w:val="0"/>
            <w:vAlign w:val="center"/>
          </w:tcPr>
          <w:p w14:paraId="62C7DF96">
            <w:pPr>
              <w:topLinePunct/>
              <w:spacing w:line="440" w:lineRule="exact"/>
              <w:jc w:val="center"/>
              <w:rPr>
                <w:rFonts w:ascii="Times New Roman" w:hAnsi="Times New Roman"/>
                <w:color w:val="auto"/>
                <w:szCs w:val="21"/>
                <w:highlight w:val="none"/>
              </w:rPr>
            </w:pPr>
          </w:p>
        </w:tc>
      </w:tr>
      <w:tr w14:paraId="631629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trPr>
        <w:tc>
          <w:tcPr>
            <w:tcW w:w="1920" w:type="dxa"/>
            <w:vMerge w:val="continue"/>
            <w:tcBorders>
              <w:top w:val="single" w:color="auto" w:sz="4" w:space="0"/>
              <w:left w:val="single" w:color="auto" w:sz="4" w:space="0"/>
              <w:bottom w:val="single" w:color="auto" w:sz="4" w:space="0"/>
              <w:right w:val="single" w:color="auto" w:sz="4" w:space="0"/>
            </w:tcBorders>
            <w:noWrap w:val="0"/>
            <w:vAlign w:val="center"/>
          </w:tcPr>
          <w:p w14:paraId="69C34E2F">
            <w:pPr>
              <w:topLinePunct/>
              <w:spacing w:line="440" w:lineRule="exact"/>
              <w:jc w:val="center"/>
              <w:rPr>
                <w:rFonts w:ascii="Times New Roman" w:hAnsi="Times New Roman"/>
                <w:color w:val="auto"/>
                <w:szCs w:val="21"/>
                <w:highlight w:val="none"/>
              </w:rPr>
            </w:pPr>
          </w:p>
        </w:tc>
        <w:tc>
          <w:tcPr>
            <w:tcW w:w="1087" w:type="dxa"/>
            <w:tcBorders>
              <w:top w:val="single" w:color="auto" w:sz="4" w:space="0"/>
              <w:left w:val="single" w:color="auto" w:sz="4" w:space="0"/>
              <w:bottom w:val="single" w:color="auto" w:sz="4" w:space="0"/>
              <w:right w:val="single" w:color="auto" w:sz="4" w:space="0"/>
            </w:tcBorders>
            <w:noWrap w:val="0"/>
            <w:vAlign w:val="center"/>
          </w:tcPr>
          <w:p w14:paraId="5EBE0800">
            <w:pPr>
              <w:topLinePunct/>
              <w:spacing w:line="440" w:lineRule="exact"/>
              <w:jc w:val="center"/>
              <w:rPr>
                <w:rFonts w:ascii="Times New Roman" w:hAnsi="Times New Roman"/>
                <w:color w:val="auto"/>
                <w:szCs w:val="21"/>
                <w:highlight w:val="none"/>
              </w:rPr>
            </w:pPr>
            <w:r>
              <w:rPr>
                <w:rFonts w:hint="eastAsia" w:ascii="Times New Roman" w:hAnsi="Times New Roman"/>
                <w:color w:val="auto"/>
                <w:szCs w:val="21"/>
                <w:highlight w:val="none"/>
              </w:rPr>
              <w:t>职  务</w:t>
            </w:r>
          </w:p>
        </w:tc>
        <w:tc>
          <w:tcPr>
            <w:tcW w:w="2173" w:type="dxa"/>
            <w:tcBorders>
              <w:top w:val="single" w:color="auto" w:sz="4" w:space="0"/>
              <w:left w:val="single" w:color="auto" w:sz="4" w:space="0"/>
              <w:bottom w:val="single" w:color="auto" w:sz="4" w:space="0"/>
              <w:right w:val="single" w:color="auto" w:sz="4" w:space="0"/>
            </w:tcBorders>
            <w:noWrap w:val="0"/>
            <w:vAlign w:val="center"/>
          </w:tcPr>
          <w:p w14:paraId="4E07249A">
            <w:pPr>
              <w:topLinePunct/>
              <w:spacing w:line="440" w:lineRule="exact"/>
              <w:jc w:val="center"/>
              <w:rPr>
                <w:rFonts w:ascii="Times New Roman" w:hAnsi="Times New Roman"/>
                <w:color w:val="auto"/>
                <w:szCs w:val="21"/>
                <w:highlight w:val="none"/>
              </w:rPr>
            </w:pPr>
          </w:p>
        </w:tc>
        <w:tc>
          <w:tcPr>
            <w:tcW w:w="1084" w:type="dxa"/>
            <w:tcBorders>
              <w:top w:val="single" w:color="auto" w:sz="4" w:space="0"/>
              <w:left w:val="single" w:color="auto" w:sz="4" w:space="0"/>
              <w:bottom w:val="single" w:color="auto" w:sz="4" w:space="0"/>
              <w:right w:val="single" w:color="auto" w:sz="4" w:space="0"/>
            </w:tcBorders>
            <w:noWrap w:val="0"/>
            <w:vAlign w:val="center"/>
          </w:tcPr>
          <w:p w14:paraId="7AD45FCC">
            <w:pPr>
              <w:topLinePunct/>
              <w:spacing w:line="440" w:lineRule="exact"/>
              <w:jc w:val="center"/>
              <w:rPr>
                <w:rFonts w:ascii="Times New Roman" w:hAnsi="Times New Roman"/>
                <w:color w:val="auto"/>
                <w:szCs w:val="21"/>
                <w:highlight w:val="none"/>
              </w:rPr>
            </w:pPr>
            <w:r>
              <w:rPr>
                <w:rFonts w:ascii="Times New Roman" w:hAnsi="Times New Roman"/>
                <w:color w:val="auto"/>
                <w:szCs w:val="21"/>
                <w:highlight w:val="none"/>
              </w:rPr>
              <w:t>电子</w:t>
            </w:r>
            <w:r>
              <w:rPr>
                <w:rFonts w:hint="eastAsia" w:ascii="Times New Roman" w:hAnsi="Times New Roman"/>
                <w:color w:val="auto"/>
                <w:szCs w:val="21"/>
                <w:highlight w:val="none"/>
              </w:rPr>
              <w:t>邮箱</w:t>
            </w:r>
          </w:p>
        </w:tc>
        <w:tc>
          <w:tcPr>
            <w:tcW w:w="2356" w:type="dxa"/>
            <w:tcBorders>
              <w:top w:val="single" w:color="auto" w:sz="4" w:space="0"/>
              <w:left w:val="single" w:color="auto" w:sz="4" w:space="0"/>
              <w:bottom w:val="single" w:color="auto" w:sz="4" w:space="0"/>
              <w:right w:val="single" w:color="auto" w:sz="4" w:space="0"/>
            </w:tcBorders>
            <w:noWrap w:val="0"/>
            <w:vAlign w:val="center"/>
          </w:tcPr>
          <w:p w14:paraId="302291FD">
            <w:pPr>
              <w:topLinePunct/>
              <w:spacing w:line="440" w:lineRule="exact"/>
              <w:jc w:val="center"/>
              <w:rPr>
                <w:rFonts w:ascii="Times New Roman" w:hAnsi="Times New Roman"/>
                <w:color w:val="auto"/>
                <w:szCs w:val="21"/>
                <w:highlight w:val="none"/>
              </w:rPr>
            </w:pPr>
          </w:p>
        </w:tc>
      </w:tr>
      <w:tr w14:paraId="127BD1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trPr>
        <w:tc>
          <w:tcPr>
            <w:tcW w:w="1920" w:type="dxa"/>
            <w:tcBorders>
              <w:top w:val="single" w:color="auto" w:sz="4" w:space="0"/>
              <w:left w:val="single" w:color="auto" w:sz="4" w:space="0"/>
              <w:bottom w:val="single" w:color="auto" w:sz="4" w:space="0"/>
              <w:right w:val="single" w:color="auto" w:sz="4" w:space="0"/>
            </w:tcBorders>
            <w:noWrap w:val="0"/>
            <w:vAlign w:val="center"/>
          </w:tcPr>
          <w:p w14:paraId="49AC2D6E">
            <w:pPr>
              <w:topLinePunct/>
              <w:spacing w:line="440" w:lineRule="exact"/>
              <w:jc w:val="center"/>
              <w:rPr>
                <w:rFonts w:ascii="Times New Roman" w:hAnsi="Times New Roman"/>
                <w:color w:val="auto"/>
                <w:szCs w:val="21"/>
                <w:highlight w:val="none"/>
              </w:rPr>
            </w:pPr>
            <w:r>
              <w:rPr>
                <w:rFonts w:ascii="Times New Roman" w:hAnsi="Times New Roman"/>
                <w:color w:val="auto"/>
                <w:szCs w:val="21"/>
                <w:highlight w:val="none"/>
              </w:rPr>
              <w:t>法定代表人</w:t>
            </w:r>
          </w:p>
        </w:tc>
        <w:tc>
          <w:tcPr>
            <w:tcW w:w="1087" w:type="dxa"/>
            <w:tcBorders>
              <w:top w:val="single" w:color="auto" w:sz="4" w:space="0"/>
              <w:left w:val="single" w:color="auto" w:sz="4" w:space="0"/>
              <w:bottom w:val="single" w:color="auto" w:sz="4" w:space="0"/>
              <w:right w:val="single" w:color="auto" w:sz="4" w:space="0"/>
            </w:tcBorders>
            <w:noWrap w:val="0"/>
            <w:vAlign w:val="center"/>
          </w:tcPr>
          <w:p w14:paraId="5EE1EF1E">
            <w:pPr>
              <w:topLinePunct/>
              <w:spacing w:line="440" w:lineRule="exact"/>
              <w:jc w:val="center"/>
              <w:rPr>
                <w:rFonts w:ascii="Times New Roman" w:hAnsi="Times New Roman"/>
                <w:color w:val="auto"/>
                <w:szCs w:val="21"/>
                <w:highlight w:val="none"/>
              </w:rPr>
            </w:pPr>
          </w:p>
        </w:tc>
        <w:tc>
          <w:tcPr>
            <w:tcW w:w="2173" w:type="dxa"/>
            <w:tcBorders>
              <w:top w:val="single" w:color="auto" w:sz="4" w:space="0"/>
              <w:left w:val="single" w:color="auto" w:sz="4" w:space="0"/>
              <w:bottom w:val="single" w:color="auto" w:sz="4" w:space="0"/>
              <w:right w:val="single" w:color="auto" w:sz="4" w:space="0"/>
            </w:tcBorders>
            <w:noWrap w:val="0"/>
            <w:vAlign w:val="center"/>
          </w:tcPr>
          <w:p w14:paraId="69B9DA63">
            <w:pPr>
              <w:topLinePunct/>
              <w:spacing w:line="440" w:lineRule="exact"/>
              <w:jc w:val="center"/>
              <w:rPr>
                <w:rFonts w:ascii="Times New Roman" w:hAnsi="Times New Roman"/>
                <w:color w:val="auto"/>
                <w:szCs w:val="21"/>
                <w:highlight w:val="none"/>
              </w:rPr>
            </w:pPr>
          </w:p>
        </w:tc>
        <w:tc>
          <w:tcPr>
            <w:tcW w:w="1084" w:type="dxa"/>
            <w:tcBorders>
              <w:top w:val="single" w:color="auto" w:sz="4" w:space="0"/>
              <w:left w:val="single" w:color="auto" w:sz="4" w:space="0"/>
              <w:bottom w:val="single" w:color="auto" w:sz="4" w:space="0"/>
              <w:right w:val="single" w:color="auto" w:sz="4" w:space="0"/>
            </w:tcBorders>
            <w:noWrap w:val="0"/>
            <w:vAlign w:val="center"/>
          </w:tcPr>
          <w:p w14:paraId="73EC4F78">
            <w:pPr>
              <w:topLinePunct/>
              <w:spacing w:line="440" w:lineRule="exact"/>
              <w:jc w:val="center"/>
              <w:rPr>
                <w:rFonts w:ascii="Times New Roman" w:hAnsi="Times New Roman"/>
                <w:color w:val="auto"/>
                <w:szCs w:val="21"/>
                <w:highlight w:val="none"/>
              </w:rPr>
            </w:pPr>
          </w:p>
        </w:tc>
        <w:tc>
          <w:tcPr>
            <w:tcW w:w="2356" w:type="dxa"/>
            <w:tcBorders>
              <w:top w:val="single" w:color="auto" w:sz="4" w:space="0"/>
              <w:left w:val="single" w:color="auto" w:sz="4" w:space="0"/>
              <w:bottom w:val="single" w:color="auto" w:sz="4" w:space="0"/>
              <w:right w:val="single" w:color="auto" w:sz="4" w:space="0"/>
            </w:tcBorders>
            <w:noWrap w:val="0"/>
            <w:vAlign w:val="center"/>
          </w:tcPr>
          <w:p w14:paraId="617DA04C">
            <w:pPr>
              <w:topLinePunct/>
              <w:spacing w:line="440" w:lineRule="exact"/>
              <w:jc w:val="center"/>
              <w:rPr>
                <w:rFonts w:ascii="Times New Roman" w:hAnsi="Times New Roman"/>
                <w:color w:val="auto"/>
                <w:szCs w:val="21"/>
                <w:highlight w:val="none"/>
              </w:rPr>
            </w:pPr>
          </w:p>
        </w:tc>
      </w:tr>
      <w:tr w14:paraId="50E230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trPr>
        <w:tc>
          <w:tcPr>
            <w:tcW w:w="1920" w:type="dxa"/>
            <w:tcBorders>
              <w:top w:val="single" w:color="auto" w:sz="4" w:space="0"/>
              <w:left w:val="single" w:color="auto" w:sz="4" w:space="0"/>
              <w:bottom w:val="single" w:color="auto" w:sz="4" w:space="0"/>
              <w:right w:val="single" w:color="auto" w:sz="4" w:space="0"/>
            </w:tcBorders>
            <w:noWrap w:val="0"/>
            <w:vAlign w:val="center"/>
          </w:tcPr>
          <w:p w14:paraId="2ECCDF80">
            <w:pPr>
              <w:topLinePunct/>
              <w:spacing w:line="440" w:lineRule="exact"/>
              <w:jc w:val="center"/>
              <w:rPr>
                <w:rFonts w:ascii="Times New Roman" w:hAnsi="Times New Roman"/>
                <w:color w:val="auto"/>
                <w:szCs w:val="21"/>
                <w:highlight w:val="none"/>
              </w:rPr>
            </w:pPr>
            <w:r>
              <w:rPr>
                <w:rFonts w:hint="eastAsia"/>
                <w:color w:val="auto"/>
                <w:kern w:val="0"/>
                <w:highlight w:val="none"/>
              </w:rPr>
              <w:t>经营范围</w:t>
            </w:r>
          </w:p>
        </w:tc>
        <w:tc>
          <w:tcPr>
            <w:tcW w:w="6700" w:type="dxa"/>
            <w:gridSpan w:val="4"/>
            <w:tcBorders>
              <w:top w:val="single" w:color="auto" w:sz="4" w:space="0"/>
              <w:left w:val="single" w:color="auto" w:sz="4" w:space="0"/>
              <w:bottom w:val="single" w:color="auto" w:sz="4" w:space="0"/>
              <w:right w:val="single" w:color="auto" w:sz="4" w:space="0"/>
            </w:tcBorders>
            <w:noWrap w:val="0"/>
            <w:vAlign w:val="center"/>
          </w:tcPr>
          <w:p w14:paraId="467AE991">
            <w:pPr>
              <w:topLinePunct/>
              <w:spacing w:line="440" w:lineRule="exact"/>
              <w:jc w:val="center"/>
              <w:rPr>
                <w:rFonts w:ascii="Times New Roman" w:hAnsi="Times New Roman"/>
                <w:color w:val="auto"/>
                <w:szCs w:val="21"/>
                <w:highlight w:val="none"/>
              </w:rPr>
            </w:pPr>
          </w:p>
        </w:tc>
      </w:tr>
      <w:tr w14:paraId="1369CA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5" w:hRule="atLeast"/>
        </w:trPr>
        <w:tc>
          <w:tcPr>
            <w:tcW w:w="1920" w:type="dxa"/>
            <w:tcBorders>
              <w:top w:val="single" w:color="auto" w:sz="4" w:space="0"/>
              <w:left w:val="single" w:color="auto" w:sz="4" w:space="0"/>
              <w:bottom w:val="single" w:color="auto" w:sz="4" w:space="0"/>
              <w:right w:val="single" w:color="auto" w:sz="4" w:space="0"/>
            </w:tcBorders>
            <w:noWrap w:val="0"/>
            <w:vAlign w:val="center"/>
          </w:tcPr>
          <w:p w14:paraId="3F8371C7">
            <w:pPr>
              <w:topLinePunct/>
              <w:spacing w:line="440" w:lineRule="exact"/>
              <w:jc w:val="center"/>
              <w:rPr>
                <w:rFonts w:ascii="Times New Roman" w:hAnsi="Times New Roman"/>
                <w:color w:val="auto"/>
                <w:szCs w:val="21"/>
                <w:highlight w:val="none"/>
              </w:rPr>
            </w:pPr>
            <w:r>
              <w:rPr>
                <w:rFonts w:ascii="Times New Roman" w:hAnsi="Times New Roman"/>
                <w:color w:val="auto"/>
                <w:szCs w:val="21"/>
                <w:highlight w:val="none"/>
              </w:rPr>
              <w:t>备注</w:t>
            </w:r>
          </w:p>
        </w:tc>
        <w:tc>
          <w:tcPr>
            <w:tcW w:w="6700" w:type="dxa"/>
            <w:gridSpan w:val="4"/>
            <w:tcBorders>
              <w:top w:val="single" w:color="auto" w:sz="4" w:space="0"/>
              <w:left w:val="single" w:color="auto" w:sz="4" w:space="0"/>
              <w:bottom w:val="single" w:color="auto" w:sz="4" w:space="0"/>
              <w:right w:val="single" w:color="auto" w:sz="4" w:space="0"/>
            </w:tcBorders>
            <w:noWrap w:val="0"/>
            <w:vAlign w:val="center"/>
          </w:tcPr>
          <w:p w14:paraId="29AF9FCC">
            <w:pPr>
              <w:topLinePunct/>
              <w:spacing w:line="440" w:lineRule="exact"/>
              <w:jc w:val="center"/>
              <w:rPr>
                <w:rFonts w:ascii="Times New Roman" w:hAnsi="Times New Roman"/>
                <w:color w:val="auto"/>
                <w:szCs w:val="21"/>
                <w:highlight w:val="none"/>
              </w:rPr>
            </w:pPr>
          </w:p>
        </w:tc>
      </w:tr>
    </w:tbl>
    <w:p w14:paraId="5F4BE4EC">
      <w:pPr>
        <w:spacing w:line="480" w:lineRule="exact"/>
        <w:rPr>
          <w:rFonts w:ascii="Times New Roman" w:hAnsi="Times New Roman" w:eastAsia="黑体"/>
          <w:color w:val="auto"/>
          <w:szCs w:val="21"/>
          <w:highlight w:val="none"/>
        </w:rPr>
      </w:pPr>
      <w:r>
        <w:rPr>
          <w:rFonts w:hint="eastAsia" w:ascii="Times New Roman" w:hAnsi="Times New Roman" w:eastAsia="黑体"/>
          <w:color w:val="auto"/>
          <w:szCs w:val="21"/>
          <w:highlight w:val="none"/>
        </w:rPr>
        <w:t>注：</w:t>
      </w:r>
    </w:p>
    <w:p w14:paraId="08199B4E">
      <w:pPr>
        <w:spacing w:line="480" w:lineRule="exact"/>
        <w:ind w:firstLine="210" w:firstLineChars="100"/>
        <w:rPr>
          <w:rFonts w:ascii="宋体" w:hAnsi="宋体"/>
          <w:color w:val="auto"/>
          <w:kern w:val="0"/>
          <w:sz w:val="24"/>
          <w:highlight w:val="none"/>
        </w:rPr>
      </w:pPr>
      <w:r>
        <w:rPr>
          <w:rFonts w:hint="eastAsia" w:ascii="Times New Roman" w:hAnsi="Times New Roman" w:eastAsia="黑体"/>
          <w:color w:val="auto"/>
          <w:szCs w:val="21"/>
          <w:highlight w:val="none"/>
        </w:rPr>
        <w:t>在本表后应</w:t>
      </w:r>
      <w:r>
        <w:rPr>
          <w:rFonts w:ascii="Times New Roman" w:hAnsi="Times New Roman" w:eastAsia="黑体"/>
          <w:color w:val="auto"/>
          <w:szCs w:val="21"/>
          <w:highlight w:val="none"/>
        </w:rPr>
        <w:t>附</w:t>
      </w:r>
      <w:r>
        <w:rPr>
          <w:rFonts w:hint="eastAsia" w:ascii="Times New Roman" w:hAnsi="Times New Roman" w:eastAsia="黑体"/>
          <w:color w:val="auto"/>
          <w:szCs w:val="21"/>
          <w:highlight w:val="none"/>
        </w:rPr>
        <w:t>供应商</w:t>
      </w:r>
      <w:r>
        <w:rPr>
          <w:rFonts w:ascii="Times New Roman" w:hAnsi="Times New Roman" w:eastAsia="黑体"/>
          <w:color w:val="auto"/>
          <w:szCs w:val="21"/>
          <w:highlight w:val="none"/>
        </w:rPr>
        <w:t>营业执照、资质证书</w:t>
      </w:r>
      <w:r>
        <w:rPr>
          <w:rFonts w:hint="eastAsia" w:ascii="Times New Roman" w:hAnsi="Times New Roman" w:eastAsia="黑体"/>
          <w:color w:val="auto"/>
          <w:szCs w:val="21"/>
          <w:highlight w:val="none"/>
        </w:rPr>
        <w:t>（如有）</w:t>
      </w:r>
      <w:r>
        <w:rPr>
          <w:rFonts w:ascii="Times New Roman" w:hAnsi="Times New Roman" w:eastAsia="黑体"/>
          <w:color w:val="auto"/>
          <w:szCs w:val="21"/>
          <w:highlight w:val="none"/>
        </w:rPr>
        <w:t>、安全生产许可证</w:t>
      </w:r>
      <w:r>
        <w:rPr>
          <w:rFonts w:hint="eastAsia" w:ascii="Times New Roman" w:hAnsi="Times New Roman" w:eastAsia="黑体"/>
          <w:color w:val="auto"/>
          <w:szCs w:val="21"/>
          <w:highlight w:val="none"/>
        </w:rPr>
        <w:t>（如有）</w:t>
      </w:r>
      <w:r>
        <w:rPr>
          <w:rFonts w:ascii="Times New Roman" w:hAnsi="Times New Roman" w:eastAsia="黑体"/>
          <w:color w:val="auto"/>
          <w:szCs w:val="21"/>
          <w:highlight w:val="none"/>
        </w:rPr>
        <w:t>及资格</w:t>
      </w:r>
      <w:r>
        <w:rPr>
          <w:rFonts w:hint="eastAsia" w:ascii="Times New Roman" w:hAnsi="Times New Roman" w:eastAsia="黑体"/>
          <w:color w:val="auto"/>
          <w:szCs w:val="21"/>
          <w:highlight w:val="none"/>
        </w:rPr>
        <w:t>审查</w:t>
      </w:r>
      <w:r>
        <w:rPr>
          <w:rFonts w:ascii="Times New Roman" w:hAnsi="Times New Roman" w:eastAsia="黑体"/>
          <w:color w:val="auto"/>
          <w:szCs w:val="21"/>
          <w:highlight w:val="none"/>
        </w:rPr>
        <w:t>要求的其他证件复印件</w:t>
      </w:r>
      <w:r>
        <w:rPr>
          <w:rFonts w:hint="eastAsia" w:ascii="Times New Roman" w:hAnsi="Times New Roman" w:eastAsia="黑体"/>
          <w:color w:val="auto"/>
          <w:szCs w:val="21"/>
          <w:highlight w:val="none"/>
        </w:rPr>
        <w:t>或扫描件，</w:t>
      </w:r>
      <w:r>
        <w:rPr>
          <w:rFonts w:ascii="Times New Roman" w:hAnsi="Times New Roman" w:eastAsia="黑体"/>
          <w:color w:val="auto"/>
          <w:szCs w:val="21"/>
          <w:highlight w:val="none"/>
        </w:rPr>
        <w:t>要求材料真实、可信。</w:t>
      </w:r>
    </w:p>
    <w:p w14:paraId="2D22184D">
      <w:pPr>
        <w:pStyle w:val="6"/>
        <w:rPr>
          <w:rFonts w:hint="eastAsia" w:ascii="宋体" w:hAnsi="宋体" w:cs="宋体"/>
          <w:color w:val="auto"/>
          <w:sz w:val="24"/>
          <w:highlight w:val="none"/>
        </w:rPr>
      </w:pPr>
    </w:p>
    <w:p w14:paraId="4F33FD7F">
      <w:pPr>
        <w:pStyle w:val="4"/>
        <w:numPr>
          <w:ilvl w:val="0"/>
          <w:numId w:val="0"/>
        </w:numPr>
        <w:spacing w:before="312" w:after="312" w:line="480" w:lineRule="auto"/>
        <w:rPr>
          <w:rFonts w:eastAsia="宋体" w:cs="宋体"/>
          <w:b w:val="0"/>
          <w:color w:val="auto"/>
          <w:szCs w:val="24"/>
          <w:highlight w:val="none"/>
        </w:rPr>
      </w:pPr>
      <w:bookmarkStart w:id="28" w:name="_Toc1328"/>
      <w:bookmarkStart w:id="29" w:name="_Toc29915"/>
      <w:bookmarkStart w:id="30" w:name="_Toc11935"/>
      <w:r>
        <w:rPr>
          <w:rFonts w:hint="eastAsia" w:eastAsia="宋体" w:cs="宋体"/>
          <w:b w:val="0"/>
          <w:color w:val="auto"/>
          <w:szCs w:val="24"/>
          <w:highlight w:val="none"/>
        </w:rPr>
        <w:br w:type="page"/>
      </w:r>
      <w:r>
        <w:rPr>
          <w:rFonts w:hint="eastAsia" w:eastAsia="宋体" w:cs="宋体"/>
          <w:b w:val="0"/>
          <w:color w:val="auto"/>
          <w:szCs w:val="24"/>
          <w:highlight w:val="none"/>
        </w:rPr>
        <w:t>2、营业执照</w:t>
      </w:r>
    </w:p>
    <w:p w14:paraId="3245E7E4">
      <w:pPr>
        <w:pStyle w:val="4"/>
        <w:numPr>
          <w:ilvl w:val="0"/>
          <w:numId w:val="0"/>
        </w:numPr>
        <w:spacing w:before="312" w:after="312" w:line="480" w:lineRule="auto"/>
        <w:rPr>
          <w:rFonts w:hint="eastAsia" w:eastAsia="宋体" w:cs="宋体"/>
          <w:b w:val="0"/>
          <w:color w:val="auto"/>
          <w:szCs w:val="24"/>
          <w:highlight w:val="none"/>
        </w:rPr>
      </w:pPr>
      <w:r>
        <w:rPr>
          <w:rFonts w:hint="eastAsia" w:eastAsia="宋体" w:cs="宋体"/>
          <w:b w:val="0"/>
          <w:color w:val="auto"/>
          <w:szCs w:val="24"/>
          <w:highlight w:val="none"/>
        </w:rPr>
        <w:br w:type="page"/>
      </w:r>
      <w:r>
        <w:rPr>
          <w:rFonts w:hint="eastAsia" w:eastAsia="宋体" w:cs="宋体"/>
          <w:b w:val="0"/>
          <w:color w:val="auto"/>
          <w:szCs w:val="24"/>
          <w:highlight w:val="none"/>
        </w:rPr>
        <w:t>3、供应商资格声明书</w:t>
      </w:r>
      <w:bookmarkEnd w:id="28"/>
      <w:bookmarkEnd w:id="29"/>
    </w:p>
    <w:p w14:paraId="4D26E248">
      <w:pPr>
        <w:pStyle w:val="6"/>
        <w:rPr>
          <w:rFonts w:hint="eastAsia"/>
          <w:color w:val="auto"/>
          <w:highlight w:val="none"/>
        </w:rPr>
      </w:pPr>
    </w:p>
    <w:p w14:paraId="6D83C240">
      <w:pPr>
        <w:pStyle w:val="10"/>
        <w:spacing w:line="360" w:lineRule="auto"/>
        <w:rPr>
          <w:rFonts w:hint="eastAsia"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lang w:eastAsia="zh-CN"/>
        </w:rPr>
        <w:t>深圳市云创得力数据有限公司</w:t>
      </w:r>
      <w:r>
        <w:rPr>
          <w:rFonts w:hint="eastAsia" w:ascii="宋体" w:hAnsi="宋体" w:cs="宋体"/>
          <w:color w:val="auto"/>
          <w:sz w:val="24"/>
          <w:highlight w:val="none"/>
          <w:u w:val="single"/>
        </w:rPr>
        <w:t xml:space="preserve"> </w:t>
      </w:r>
    </w:p>
    <w:p w14:paraId="42FBE780">
      <w:pPr>
        <w:widowControl/>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kern w:val="0"/>
          <w:sz w:val="24"/>
          <w:highlight w:val="none"/>
          <w:lang w:bidi="ar"/>
        </w:rPr>
        <w:t>在参与本次项目报价中，我单位承诺：</w:t>
      </w:r>
    </w:p>
    <w:p w14:paraId="62CD63CA">
      <w:pPr>
        <w:widowControl/>
        <w:spacing w:line="360" w:lineRule="auto"/>
        <w:ind w:firstLine="480" w:firstLineChars="200"/>
        <w:jc w:val="left"/>
        <w:rPr>
          <w:rFonts w:hint="eastAsia" w:ascii="宋体" w:hAnsi="宋体" w:cs="宋体"/>
          <w:color w:val="auto"/>
          <w:kern w:val="0"/>
          <w:sz w:val="24"/>
          <w:highlight w:val="none"/>
          <w:lang w:bidi="ar"/>
        </w:rPr>
      </w:pPr>
      <w:r>
        <w:rPr>
          <w:rFonts w:hint="eastAsia" w:ascii="宋体" w:hAnsi="宋体" w:cs="宋体"/>
          <w:color w:val="auto"/>
          <w:kern w:val="0"/>
          <w:sz w:val="24"/>
          <w:highlight w:val="none"/>
          <w:lang w:bidi="ar"/>
        </w:rPr>
        <w:t>（一）具有良好的商业信誉和健全的财务会计制度；</w:t>
      </w:r>
    </w:p>
    <w:p w14:paraId="003482C2">
      <w:pPr>
        <w:widowControl/>
        <w:spacing w:line="360" w:lineRule="auto"/>
        <w:ind w:firstLine="480" w:firstLineChars="200"/>
        <w:jc w:val="left"/>
        <w:rPr>
          <w:rFonts w:hint="eastAsia" w:ascii="宋体" w:hAnsi="宋体" w:cs="宋体"/>
          <w:color w:val="auto"/>
          <w:kern w:val="0"/>
          <w:sz w:val="24"/>
          <w:highlight w:val="none"/>
          <w:lang w:bidi="ar"/>
        </w:rPr>
      </w:pPr>
      <w:r>
        <w:rPr>
          <w:rFonts w:hint="eastAsia" w:ascii="宋体" w:hAnsi="宋体" w:cs="宋体"/>
          <w:color w:val="auto"/>
          <w:kern w:val="0"/>
          <w:sz w:val="24"/>
          <w:highlight w:val="none"/>
          <w:lang w:bidi="ar"/>
        </w:rPr>
        <w:t>（二）具有履行合同所必需的设备和专业技术能力；</w:t>
      </w:r>
    </w:p>
    <w:p w14:paraId="73720C70">
      <w:pPr>
        <w:widowControl/>
        <w:spacing w:line="360" w:lineRule="auto"/>
        <w:ind w:firstLine="480" w:firstLineChars="200"/>
        <w:jc w:val="left"/>
        <w:rPr>
          <w:rFonts w:hint="eastAsia" w:ascii="宋体" w:hAnsi="宋体" w:cs="宋体"/>
          <w:color w:val="auto"/>
          <w:kern w:val="0"/>
          <w:sz w:val="24"/>
          <w:highlight w:val="none"/>
          <w:lang w:bidi="ar"/>
        </w:rPr>
      </w:pPr>
      <w:r>
        <w:rPr>
          <w:rFonts w:hint="eastAsia" w:ascii="宋体" w:hAnsi="宋体" w:cs="宋体"/>
          <w:color w:val="auto"/>
          <w:kern w:val="0"/>
          <w:sz w:val="24"/>
          <w:highlight w:val="none"/>
          <w:lang w:bidi="ar"/>
        </w:rPr>
        <w:t>（三）有依法缴纳税收和社会保障资金的良好记录；</w:t>
      </w:r>
    </w:p>
    <w:p w14:paraId="4CEE3D19">
      <w:pPr>
        <w:widowControl/>
        <w:spacing w:line="360" w:lineRule="auto"/>
        <w:ind w:firstLine="480" w:firstLineChars="200"/>
        <w:jc w:val="left"/>
        <w:rPr>
          <w:rFonts w:hint="eastAsia" w:ascii="宋体" w:hAnsi="宋体" w:cs="宋体"/>
          <w:color w:val="auto"/>
          <w:kern w:val="0"/>
          <w:sz w:val="24"/>
          <w:highlight w:val="none"/>
          <w:lang w:bidi="ar"/>
        </w:rPr>
      </w:pPr>
      <w:r>
        <w:rPr>
          <w:rFonts w:hint="eastAsia" w:ascii="宋体" w:hAnsi="宋体" w:cs="宋体"/>
          <w:color w:val="auto"/>
          <w:kern w:val="0"/>
          <w:sz w:val="24"/>
          <w:highlight w:val="none"/>
          <w:lang w:bidi="ar"/>
        </w:rPr>
        <w:t>（四）未被责令停业，暂扣或吊销执照，或吊销资质证书；</w:t>
      </w:r>
    </w:p>
    <w:p w14:paraId="0F3F6D50">
      <w:pPr>
        <w:widowControl/>
        <w:spacing w:line="360" w:lineRule="auto"/>
        <w:ind w:firstLine="480" w:firstLineChars="200"/>
        <w:jc w:val="left"/>
        <w:rPr>
          <w:rFonts w:hint="eastAsia" w:ascii="宋体" w:hAnsi="宋体" w:cs="宋体"/>
          <w:color w:val="auto"/>
          <w:kern w:val="0"/>
          <w:sz w:val="24"/>
          <w:highlight w:val="none"/>
          <w:lang w:bidi="ar"/>
        </w:rPr>
      </w:pPr>
      <w:r>
        <w:rPr>
          <w:rFonts w:hint="eastAsia" w:ascii="宋体" w:hAnsi="宋体" w:cs="宋体"/>
          <w:color w:val="auto"/>
          <w:kern w:val="0"/>
          <w:sz w:val="24"/>
          <w:highlight w:val="none"/>
          <w:lang w:bidi="ar"/>
        </w:rPr>
        <w:t>（五）未进入清算程序，或被宣告破产，或其他丧失履约能力的情形；</w:t>
      </w:r>
    </w:p>
    <w:p w14:paraId="3B29B29F">
      <w:pPr>
        <w:widowControl/>
        <w:spacing w:line="360" w:lineRule="auto"/>
        <w:ind w:firstLine="480" w:firstLineChars="200"/>
        <w:jc w:val="left"/>
        <w:rPr>
          <w:rFonts w:hint="eastAsia" w:ascii="宋体" w:hAnsi="宋体" w:cs="宋体"/>
          <w:color w:val="auto"/>
          <w:kern w:val="0"/>
          <w:sz w:val="24"/>
          <w:highlight w:val="none"/>
          <w:lang w:bidi="ar"/>
        </w:rPr>
      </w:pPr>
      <w:r>
        <w:rPr>
          <w:rFonts w:hint="eastAsia" w:ascii="宋体" w:hAnsi="宋体" w:cs="宋体"/>
          <w:color w:val="auto"/>
          <w:kern w:val="0"/>
          <w:sz w:val="24"/>
          <w:highlight w:val="none"/>
          <w:lang w:bidi="ar"/>
        </w:rPr>
        <w:t>（六）在国家企业信用信息公示系统（http://www.gsxt.gov.cn）中未被列入严重违法失信企业名单；</w:t>
      </w:r>
    </w:p>
    <w:p w14:paraId="4B5776AE">
      <w:pPr>
        <w:widowControl/>
        <w:spacing w:line="360" w:lineRule="auto"/>
        <w:ind w:firstLine="480" w:firstLineChars="200"/>
        <w:jc w:val="left"/>
        <w:rPr>
          <w:rFonts w:hint="eastAsia" w:ascii="宋体" w:hAnsi="宋体" w:cs="宋体"/>
          <w:color w:val="auto"/>
          <w:kern w:val="0"/>
          <w:sz w:val="24"/>
          <w:highlight w:val="none"/>
          <w:lang w:bidi="ar"/>
        </w:rPr>
      </w:pPr>
      <w:r>
        <w:rPr>
          <w:rFonts w:hint="eastAsia" w:ascii="宋体" w:hAnsi="宋体" w:cs="宋体"/>
          <w:color w:val="auto"/>
          <w:kern w:val="0"/>
          <w:sz w:val="24"/>
          <w:highlight w:val="none"/>
          <w:lang w:bidi="ar"/>
        </w:rPr>
        <w:t>（七）在“中国执行信息公开网”中未被列入失信被执行人名单；</w:t>
      </w:r>
    </w:p>
    <w:p w14:paraId="0475F500">
      <w:pPr>
        <w:widowControl/>
        <w:spacing w:line="360" w:lineRule="auto"/>
        <w:ind w:firstLine="480" w:firstLineChars="200"/>
        <w:jc w:val="left"/>
        <w:rPr>
          <w:rFonts w:hint="eastAsia" w:ascii="宋体" w:hAnsi="宋体" w:cs="宋体"/>
          <w:color w:val="auto"/>
          <w:kern w:val="0"/>
          <w:sz w:val="24"/>
          <w:highlight w:val="none"/>
          <w:lang w:bidi="ar"/>
        </w:rPr>
      </w:pPr>
      <w:r>
        <w:rPr>
          <w:rFonts w:hint="eastAsia" w:ascii="宋体" w:hAnsi="宋体" w:cs="宋体"/>
          <w:color w:val="auto"/>
          <w:kern w:val="0"/>
          <w:sz w:val="24"/>
          <w:highlight w:val="none"/>
          <w:lang w:bidi="ar"/>
        </w:rPr>
        <w:t>（八）在近三年内（自响应文件递交截止之日向前追溯3年）我单位或其法定代表人无行贿犯罪行为。</w:t>
      </w:r>
    </w:p>
    <w:p w14:paraId="7DAE1D18">
      <w:pPr>
        <w:pStyle w:val="6"/>
        <w:rPr>
          <w:rFonts w:hint="eastAsia" w:ascii="宋体" w:hAnsi="宋体" w:cs="宋体"/>
          <w:color w:val="auto"/>
          <w:sz w:val="24"/>
          <w:highlight w:val="none"/>
        </w:rPr>
      </w:pPr>
    </w:p>
    <w:p w14:paraId="38479A2C">
      <w:pPr>
        <w:spacing w:line="360" w:lineRule="auto"/>
        <w:ind w:firstLine="435"/>
        <w:rPr>
          <w:rFonts w:hint="eastAsia" w:ascii="宋体" w:hAnsi="宋体" w:cs="宋体"/>
          <w:color w:val="auto"/>
          <w:sz w:val="24"/>
          <w:highlight w:val="none"/>
        </w:rPr>
      </w:pPr>
      <w:r>
        <w:rPr>
          <w:rFonts w:hint="eastAsia" w:ascii="宋体" w:hAnsi="宋体" w:cs="宋体"/>
          <w:color w:val="auto"/>
          <w:sz w:val="24"/>
          <w:highlight w:val="none"/>
        </w:rPr>
        <w:t>本单位对上述声明的真实性负责。如有虚假，将依法承担相应责任。</w:t>
      </w:r>
    </w:p>
    <w:p w14:paraId="326C2E86">
      <w:pPr>
        <w:spacing w:line="360" w:lineRule="auto"/>
        <w:ind w:firstLine="4800" w:firstLineChars="2000"/>
        <w:rPr>
          <w:rFonts w:hint="eastAsia" w:ascii="宋体" w:hAnsi="宋体" w:cs="宋体"/>
          <w:color w:val="auto"/>
          <w:sz w:val="24"/>
          <w:highlight w:val="none"/>
        </w:rPr>
      </w:pPr>
    </w:p>
    <w:p w14:paraId="03403203">
      <w:pPr>
        <w:spacing w:after="120"/>
        <w:jc w:val="right"/>
        <w:rPr>
          <w:rFonts w:hint="eastAsia" w:ascii="宋体" w:hAnsi="宋体" w:cs="宋体"/>
          <w:color w:val="auto"/>
          <w:sz w:val="24"/>
          <w:highlight w:val="none"/>
        </w:rPr>
      </w:pPr>
      <w:r>
        <w:rPr>
          <w:rFonts w:hint="eastAsia" w:ascii="宋体" w:hAnsi="宋体" w:cs="宋体"/>
          <w:color w:val="auto"/>
          <w:sz w:val="24"/>
          <w:highlight w:val="none"/>
        </w:rPr>
        <w:t>报价人：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（公章）</w:t>
      </w:r>
    </w:p>
    <w:p w14:paraId="7C526B8C">
      <w:pPr>
        <w:pStyle w:val="6"/>
        <w:jc w:val="right"/>
        <w:rPr>
          <w:rFonts w:hint="eastAsia" w:ascii="宋体" w:hAnsi="宋体" w:cs="宋体"/>
          <w:color w:val="auto"/>
          <w:sz w:val="24"/>
          <w:highlight w:val="none"/>
        </w:rPr>
      </w:pPr>
    </w:p>
    <w:p w14:paraId="23B641B5">
      <w:pPr>
        <w:pStyle w:val="6"/>
        <w:jc w:val="right"/>
        <w:rPr>
          <w:rFonts w:hint="eastAsia" w:ascii="宋体" w:hAnsi="宋体" w:cs="宋体"/>
          <w:color w:val="auto"/>
          <w:sz w:val="24"/>
          <w:highlight w:val="none"/>
        </w:rPr>
      </w:pPr>
      <w:r>
        <w:rPr>
          <w:rFonts w:hint="eastAsia" w:ascii="宋体" w:hAnsi="宋体" w:cs="宋体"/>
          <w:color w:val="auto"/>
          <w:sz w:val="24"/>
          <w:highlight w:val="none"/>
        </w:rPr>
        <w:t>日  期：</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p>
    <w:p w14:paraId="016DA20C">
      <w:pPr>
        <w:pStyle w:val="6"/>
        <w:rPr>
          <w:rFonts w:hint="eastAsia" w:ascii="宋体" w:hAnsi="宋体" w:cs="宋体"/>
          <w:color w:val="auto"/>
          <w:sz w:val="24"/>
          <w:highlight w:val="none"/>
        </w:rPr>
      </w:pPr>
    </w:p>
    <w:p w14:paraId="44024AB4">
      <w:pPr>
        <w:pStyle w:val="6"/>
        <w:rPr>
          <w:rFonts w:hint="eastAsia" w:ascii="宋体" w:hAnsi="宋体" w:cs="宋体"/>
          <w:color w:val="auto"/>
          <w:sz w:val="24"/>
          <w:highlight w:val="none"/>
        </w:rPr>
      </w:pPr>
    </w:p>
    <w:p w14:paraId="7E9B470A">
      <w:pPr>
        <w:numPr>
          <w:ilvl w:val="0"/>
          <w:numId w:val="4"/>
        </w:numPr>
        <w:jc w:val="center"/>
        <w:outlineLvl w:val="1"/>
        <w:rPr>
          <w:rStyle w:val="20"/>
          <w:rFonts w:hint="eastAsia"/>
          <w:color w:val="auto"/>
          <w:highlight w:val="none"/>
        </w:rPr>
      </w:pPr>
      <w:r>
        <w:rPr>
          <w:rFonts w:hint="eastAsia" w:eastAsia="宋体" w:cs="宋体"/>
          <w:b w:val="0"/>
          <w:color w:val="auto"/>
          <w:szCs w:val="24"/>
          <w:highlight w:val="none"/>
        </w:rPr>
        <w:br w:type="page"/>
      </w:r>
      <w:r>
        <w:rPr>
          <w:rStyle w:val="20"/>
          <w:rFonts w:hint="eastAsia"/>
          <w:color w:val="auto"/>
          <w:highlight w:val="none"/>
        </w:rPr>
        <w:t>技术文件</w:t>
      </w:r>
      <w:r>
        <w:rPr>
          <w:rStyle w:val="20"/>
          <w:rFonts w:hint="eastAsia"/>
          <w:color w:val="auto"/>
          <w:highlight w:val="none"/>
          <w:lang w:eastAsia="zh-CN"/>
        </w:rPr>
        <w:t>（格式自拟）</w:t>
      </w:r>
    </w:p>
    <w:p w14:paraId="1D429230">
      <w:pPr>
        <w:pStyle w:val="6"/>
        <w:rPr>
          <w:rFonts w:hint="eastAsia"/>
          <w:color w:val="auto"/>
          <w:highlight w:val="none"/>
        </w:rPr>
      </w:pPr>
    </w:p>
    <w:p w14:paraId="19D93EE8">
      <w:pPr>
        <w:pStyle w:val="6"/>
        <w:rPr>
          <w:rFonts w:hint="eastAsia" w:ascii="宋体" w:hAnsi="宋体" w:cs="宋体"/>
          <w:color w:val="auto"/>
          <w:sz w:val="24"/>
          <w:highlight w:val="none"/>
        </w:rPr>
      </w:pPr>
    </w:p>
    <w:p w14:paraId="15FEBD69">
      <w:pPr>
        <w:pStyle w:val="6"/>
        <w:rPr>
          <w:rFonts w:hint="eastAsia" w:ascii="宋体" w:hAnsi="宋体" w:cs="宋体"/>
          <w:color w:val="auto"/>
          <w:sz w:val="24"/>
          <w:highlight w:val="none"/>
        </w:rPr>
      </w:pPr>
    </w:p>
    <w:p w14:paraId="5949AC71">
      <w:pPr>
        <w:numPr>
          <w:ilvl w:val="0"/>
          <w:numId w:val="4"/>
        </w:numPr>
        <w:jc w:val="center"/>
        <w:outlineLvl w:val="1"/>
        <w:rPr>
          <w:rStyle w:val="20"/>
          <w:color w:val="auto"/>
          <w:highlight w:val="none"/>
        </w:rPr>
      </w:pPr>
      <w:r>
        <w:rPr>
          <w:rFonts w:hint="eastAsia" w:ascii="宋体" w:hAnsi="宋体" w:cs="宋体"/>
          <w:b/>
          <w:bCs/>
          <w:color w:val="auto"/>
          <w:sz w:val="24"/>
          <w:highlight w:val="none"/>
        </w:rPr>
        <w:br w:type="page"/>
      </w:r>
      <w:bookmarkEnd w:id="30"/>
      <w:r>
        <w:rPr>
          <w:rStyle w:val="20"/>
          <w:rFonts w:hint="eastAsia"/>
          <w:color w:val="auto"/>
          <w:highlight w:val="none"/>
        </w:rPr>
        <w:t>其他材料（如有）</w:t>
      </w:r>
    </w:p>
    <w:p w14:paraId="752FFE6D">
      <w:pPr>
        <w:pStyle w:val="21"/>
        <w:rPr>
          <w:rFonts w:ascii="宋体" w:hAnsi="宋体" w:eastAsia="宋体" w:cs="宋体"/>
          <w:color w:val="auto"/>
          <w:szCs w:val="24"/>
          <w:highlight w:val="none"/>
        </w:rPr>
      </w:pPr>
    </w:p>
    <w:p w14:paraId="4CE1CA0D">
      <w:pPr>
        <w:pStyle w:val="6"/>
        <w:jc w:val="both"/>
        <w:rPr>
          <w:rFonts w:hint="eastAsia" w:ascii="宋体" w:hAnsi="宋体" w:cs="宋体"/>
          <w:b/>
          <w:bCs/>
          <w:color w:val="auto"/>
          <w:sz w:val="24"/>
          <w:highlight w:val="none"/>
        </w:rPr>
      </w:pPr>
    </w:p>
    <w:p w14:paraId="14F0714F">
      <w:pPr>
        <w:pStyle w:val="6"/>
        <w:jc w:val="right"/>
        <w:rPr>
          <w:rFonts w:hint="eastAsia" w:ascii="宋体" w:hAnsi="宋体" w:cs="宋体"/>
          <w:color w:val="auto"/>
          <w:sz w:val="24"/>
          <w:highlight w:val="none"/>
        </w:rPr>
      </w:pPr>
      <w:r>
        <w:rPr>
          <w:rFonts w:hint="eastAsia" w:ascii="宋体" w:hAnsi="宋体" w:cs="宋体"/>
          <w:b/>
          <w:bCs/>
          <w:color w:val="auto"/>
          <w:sz w:val="24"/>
          <w:highlight w:val="none"/>
        </w:rPr>
        <w:t xml:space="preserve">    </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503050405090304"/>
    <w:charset w:val="81"/>
    <w:family w:val="auto"/>
    <w:pitch w:val="default"/>
    <w:sig w:usb0="00000000" w:usb1="00000000" w:usb2="00000001" w:usb3="00000000" w:csb0="400001BF" w:csb1="DFF70000"/>
  </w:font>
  <w:font w:name="宋体">
    <w:altName w:val="方正书宋_GB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Fang Song">
    <w:altName w:val="仿宋_GB2312"/>
    <w:panose1 w:val="00000000000000000000"/>
    <w:charset w:val="00"/>
    <w:family w:val="modern"/>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微软雅黑">
    <w:altName w:val="方正黑体_GBK"/>
    <w:panose1 w:val="00000000000000000000"/>
    <w:charset w:val="00"/>
    <w:family w:val="auto"/>
    <w:pitch w:val="default"/>
    <w:sig w:usb0="00000000" w:usb1="00000000" w:usb2="00000000" w:usb3="00000000" w:csb0="00000000" w:csb1="00000000"/>
  </w:font>
  <w:font w:name="Tahoma">
    <w:altName w:val="noto sans thai"/>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76078D">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ABED43">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2ABED43">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911F0F"/>
    <w:multiLevelType w:val="multilevel"/>
    <w:tmpl w:val="9B911F0F"/>
    <w:lvl w:ilvl="0" w:tentative="0">
      <w:start w:val="1"/>
      <w:numFmt w:val="chineseCounting"/>
      <w:lvlText w:val="%1."/>
      <w:lvlJc w:val="left"/>
      <w:pPr>
        <w:ind w:left="425" w:hanging="425"/>
      </w:pPr>
      <w:rPr>
        <w:rFonts w:hint="eastAsia"/>
      </w:rPr>
    </w:lvl>
    <w:lvl w:ilvl="1" w:tentative="0">
      <w:start w:val="1"/>
      <w:numFmt w:val="decimal"/>
      <w:pStyle w:val="3"/>
      <w:isLgl/>
      <w:lvlText w:val="%2."/>
      <w:lvlJc w:val="left"/>
      <w:pPr>
        <w:ind w:left="567" w:hanging="567"/>
      </w:pPr>
      <w:rPr>
        <w:rFonts w:hint="default"/>
        <w:sz w:val="28"/>
        <w:szCs w:val="28"/>
      </w:rPr>
    </w:lvl>
    <w:lvl w:ilvl="2" w:tentative="0">
      <w:start w:val="1"/>
      <w:numFmt w:val="decimal"/>
      <w:pStyle w:val="4"/>
      <w:isLgl/>
      <w:lvlText w:val="%2.%3."/>
      <w:lvlJc w:val="left"/>
      <w:pPr>
        <w:ind w:left="709" w:hanging="709"/>
      </w:pPr>
      <w:rPr>
        <w:rFonts w:hint="eastAsia"/>
      </w:rPr>
    </w:lvl>
    <w:lvl w:ilvl="3" w:tentative="0">
      <w:start w:val="1"/>
      <w:numFmt w:val="decimal"/>
      <w:isLgl/>
      <w:lvlText w:val="%2.%3.%4."/>
      <w:lvlJc w:val="left"/>
      <w:pPr>
        <w:ind w:left="850" w:hanging="850"/>
      </w:pPr>
      <w:rPr>
        <w:rFonts w:hint="eastAsia"/>
      </w:rPr>
    </w:lvl>
    <w:lvl w:ilvl="4" w:tentative="0">
      <w:start w:val="1"/>
      <w:numFmt w:val="decimal"/>
      <w:isLgl/>
      <w:lvlText w:val="%2.%3.%4.%5."/>
      <w:lvlJc w:val="left"/>
      <w:pPr>
        <w:ind w:left="991" w:hanging="991"/>
      </w:pPr>
      <w:rPr>
        <w:rFonts w:hint="eastAsia"/>
      </w:rPr>
    </w:lvl>
    <w:lvl w:ilvl="5" w:tentative="0">
      <w:start w:val="1"/>
      <w:numFmt w:val="decimal"/>
      <w:isLgl/>
      <w:lvlText w:val="%2.%3.%4.%5.%6."/>
      <w:lvlJc w:val="left"/>
      <w:pPr>
        <w:ind w:left="1134" w:hanging="1134"/>
      </w:pPr>
      <w:rPr>
        <w:rFonts w:hint="eastAsia"/>
      </w:rPr>
    </w:lvl>
    <w:lvl w:ilvl="6" w:tentative="0">
      <w:start w:val="1"/>
      <w:numFmt w:val="decimal"/>
      <w:isLgl/>
      <w:lvlText w:val="%2.%3.%4.%5.%6.%7."/>
      <w:lvlJc w:val="left"/>
      <w:pPr>
        <w:ind w:left="1275" w:hanging="1275"/>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8" w:hanging="1558"/>
      </w:pPr>
      <w:rPr>
        <w:rFonts w:hint="eastAsia"/>
      </w:rPr>
    </w:lvl>
  </w:abstractNum>
  <w:abstractNum w:abstractNumId="1">
    <w:nsid w:val="9EF26B15"/>
    <w:multiLevelType w:val="singleLevel"/>
    <w:tmpl w:val="9EF26B15"/>
    <w:lvl w:ilvl="0" w:tentative="0">
      <w:start w:val="6"/>
      <w:numFmt w:val="chineseCounting"/>
      <w:suff w:val="nothing"/>
      <w:lvlText w:val="%1、"/>
      <w:lvlJc w:val="left"/>
      <w:rPr>
        <w:rFonts w:hint="eastAsia"/>
      </w:rPr>
    </w:lvl>
  </w:abstractNum>
  <w:abstractNum w:abstractNumId="2">
    <w:nsid w:val="C8E7D9FA"/>
    <w:multiLevelType w:val="multilevel"/>
    <w:tmpl w:val="C8E7D9FA"/>
    <w:lvl w:ilvl="0" w:tentative="0">
      <w:start w:val="1"/>
      <w:numFmt w:val="chineseCounting"/>
      <w:pStyle w:val="2"/>
      <w:suff w:val="nothing"/>
      <w:lvlText w:val="第%1章 "/>
      <w:lvlJc w:val="left"/>
      <w:pPr>
        <w:tabs>
          <w:tab w:val="left" w:pos="0"/>
        </w:tabs>
        <w:ind w:left="1278" w:firstLine="402"/>
      </w:pPr>
      <w:rPr>
        <w:rFonts w:hint="eastAsia"/>
        <w:sz w:val="40"/>
        <w:szCs w:val="40"/>
      </w:rPr>
    </w:lvl>
    <w:lvl w:ilvl="1" w:tentative="0">
      <w:start w:val="1"/>
      <w:numFmt w:val="chineseCounting"/>
      <w:suff w:val="nothing"/>
      <w:lvlText w:val="%2、"/>
      <w:lvlJc w:val="left"/>
      <w:pPr>
        <w:ind w:left="0" w:firstLine="402"/>
      </w:pPr>
      <w:rPr>
        <w:rFonts w:hint="eastAsia"/>
      </w:rPr>
    </w:lvl>
    <w:lvl w:ilvl="2" w:tentative="0">
      <w:start w:val="1"/>
      <w:numFmt w:val="decimal"/>
      <w:suff w:val="nothing"/>
      <w:lvlText w:val="%3．"/>
      <w:lvlJc w:val="left"/>
      <w:pPr>
        <w:ind w:left="0" w:firstLine="402"/>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3">
    <w:nsid w:val="4EF5530B"/>
    <w:multiLevelType w:val="multilevel"/>
    <w:tmpl w:val="4EF5530B"/>
    <w:lvl w:ilvl="0" w:tentative="0">
      <w:start w:val="1"/>
      <w:numFmt w:val="chineseCountingThousand"/>
      <w:suff w:val="nothing"/>
      <w:lvlText w:val="第%1条 "/>
      <w:lvlJc w:val="left"/>
      <w:pPr>
        <w:ind w:left="0" w:firstLine="0"/>
      </w:pPr>
      <w:rPr>
        <w:rFonts w:hint="eastAsia"/>
        <w:b/>
        <w:i w:val="0"/>
        <w:sz w:val="24"/>
      </w:rPr>
    </w:lvl>
    <w:lvl w:ilvl="1" w:tentative="0">
      <w:start w:val="1"/>
      <w:numFmt w:val="decimal"/>
      <w:isLgl/>
      <w:suff w:val="nothing"/>
      <w:lvlText w:val="%1.%2 "/>
      <w:lvlJc w:val="left"/>
      <w:pPr>
        <w:ind w:left="0" w:firstLine="0"/>
      </w:pPr>
      <w:rPr>
        <w:rFonts w:hint="default"/>
        <w:b w:val="0"/>
        <w:color w:val="auto"/>
        <w:highlight w:val="none"/>
      </w:rPr>
    </w:lvl>
    <w:lvl w:ilvl="2" w:tentative="0">
      <w:start w:val="1"/>
      <w:numFmt w:val="decimal"/>
      <w:isLgl/>
      <w:suff w:val="nothing"/>
      <w:lvlText w:val="%1.%2.%3 "/>
      <w:lvlJc w:val="left"/>
      <w:pPr>
        <w:ind w:left="0" w:firstLine="0"/>
      </w:pPr>
      <w:rPr>
        <w:rFonts w:hint="eastAsia"/>
        <w:b w:val="0"/>
      </w:rPr>
    </w:lvl>
    <w:lvl w:ilvl="3" w:tentative="0">
      <w:start w:val="1"/>
      <w:numFmt w:val="decimal"/>
      <w:isLgl/>
      <w:suff w:val="nothing"/>
      <w:lvlText w:val="%1.%2.%3.%4 "/>
      <w:lvlJc w:val="left"/>
      <w:pPr>
        <w:ind w:left="0" w:firstLine="0"/>
      </w:pPr>
      <w:rPr>
        <w:rFonts w:hint="eastAsia"/>
      </w:rPr>
    </w:lvl>
    <w:lvl w:ilvl="4" w:tentative="0">
      <w:start w:val="1"/>
      <w:numFmt w:val="decimal"/>
      <w:isLgl/>
      <w:suff w:val="nothing"/>
      <w:lvlText w:val="%1.%2.%3.%4.%5 "/>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num w:numId="1">
    <w:abstractNumId w:val="2"/>
  </w:num>
  <w:num w:numId="2">
    <w:abstractNumId w:val="0"/>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576828A"/>
    <w:rsid w:val="7E96277C"/>
    <w:rsid w:val="E5EF2678"/>
    <w:rsid w:val="F576828A"/>
    <w:rsid w:val="FDF305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numPr>
        <w:ilvl w:val="0"/>
        <w:numId w:val="1"/>
      </w:numPr>
      <w:spacing w:before="100" w:beforeLines="100" w:after="100" w:afterLines="100" w:line="360" w:lineRule="auto"/>
      <w:jc w:val="center"/>
      <w:outlineLvl w:val="0"/>
    </w:pPr>
    <w:rPr>
      <w:rFonts w:ascii="Times New Roman" w:hAnsi="Times New Roman"/>
      <w:b/>
      <w:bCs/>
      <w:kern w:val="44"/>
      <w:sz w:val="40"/>
      <w:szCs w:val="44"/>
    </w:rPr>
  </w:style>
  <w:style w:type="paragraph" w:styleId="3">
    <w:name w:val="heading 2"/>
    <w:basedOn w:val="2"/>
    <w:next w:val="1"/>
    <w:link w:val="20"/>
    <w:qFormat/>
    <w:uiPriority w:val="0"/>
    <w:pPr>
      <w:keepNext/>
      <w:keepLines/>
      <w:numPr>
        <w:ilvl w:val="1"/>
        <w:numId w:val="2"/>
      </w:numPr>
      <w:spacing w:before="120" w:after="120" w:line="360" w:lineRule="auto"/>
      <w:ind w:hanging="567"/>
      <w:outlineLvl w:val="1"/>
    </w:pPr>
    <w:rPr>
      <w:rFonts w:ascii="Arial" w:hAnsi="Arial"/>
      <w:kern w:val="2"/>
      <w:sz w:val="28"/>
      <w:szCs w:val="32"/>
    </w:rPr>
  </w:style>
  <w:style w:type="paragraph" w:styleId="4">
    <w:name w:val="heading 3"/>
    <w:basedOn w:val="3"/>
    <w:next w:val="1"/>
    <w:qFormat/>
    <w:uiPriority w:val="0"/>
    <w:pPr>
      <w:numPr>
        <w:ilvl w:val="2"/>
        <w:numId w:val="2"/>
      </w:numPr>
      <w:outlineLvl w:val="2"/>
    </w:pPr>
    <w:rPr>
      <w:rFonts w:ascii="宋体" w:hAnsi="宋体" w:eastAsia="黑体"/>
      <w:sz w:val="24"/>
      <w:szCs w:val="28"/>
    </w:rPr>
  </w:style>
  <w:style w:type="character" w:default="1" w:styleId="16">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5">
    <w:name w:val="Body Text 3"/>
    <w:basedOn w:val="1"/>
    <w:qFormat/>
    <w:uiPriority w:val="0"/>
    <w:pPr>
      <w:spacing w:beforeLines="50"/>
    </w:pPr>
    <w:rPr>
      <w:rFonts w:ascii="宋体" w:hAnsi="宋体"/>
      <w:szCs w:val="20"/>
    </w:rPr>
  </w:style>
  <w:style w:type="paragraph" w:styleId="6">
    <w:name w:val="Body Text"/>
    <w:basedOn w:val="1"/>
    <w:qFormat/>
    <w:uiPriority w:val="0"/>
    <w:pPr>
      <w:spacing w:after="120"/>
    </w:pPr>
  </w:style>
  <w:style w:type="paragraph" w:styleId="7">
    <w:name w:val="Body Text Indent"/>
    <w:basedOn w:val="1"/>
    <w:next w:val="8"/>
    <w:qFormat/>
    <w:uiPriority w:val="0"/>
    <w:pPr>
      <w:spacing w:after="120"/>
      <w:ind w:left="420" w:leftChars="200"/>
    </w:pPr>
  </w:style>
  <w:style w:type="paragraph" w:styleId="8">
    <w:name w:val="envelope return"/>
    <w:basedOn w:val="1"/>
    <w:unhideWhenUsed/>
    <w:qFormat/>
    <w:uiPriority w:val="99"/>
    <w:pPr>
      <w:snapToGrid w:val="0"/>
      <w:ind w:firstLine="200"/>
    </w:pPr>
    <w:rPr>
      <w:rFonts w:ascii="Arial" w:hAnsi="Arial" w:cs="Arial"/>
      <w:szCs w:val="20"/>
    </w:rPr>
  </w:style>
  <w:style w:type="paragraph" w:styleId="9">
    <w:name w:val="Plain Text"/>
    <w:basedOn w:val="1"/>
    <w:qFormat/>
    <w:uiPriority w:val="0"/>
    <w:rPr>
      <w:rFonts w:ascii="宋体" w:hAnsi="Courier New"/>
      <w:szCs w:val="20"/>
    </w:rPr>
  </w:style>
  <w:style w:type="paragraph" w:styleId="10">
    <w:name w:val="Date"/>
    <w:basedOn w:val="1"/>
    <w:next w:val="1"/>
    <w:qFormat/>
    <w:uiPriority w:val="0"/>
    <w:rPr>
      <w:rFonts w:ascii="Arial" w:hAnsi="Arial" w:eastAsia="宋体" w:cs="Arial"/>
      <w:b/>
      <w:sz w:val="28"/>
    </w:rPr>
  </w:style>
  <w:style w:type="paragraph" w:styleId="11">
    <w:name w:val="footer"/>
    <w:basedOn w:val="1"/>
    <w:qFormat/>
    <w:uiPriority w:val="99"/>
    <w:pPr>
      <w:tabs>
        <w:tab w:val="center" w:pos="4153"/>
        <w:tab w:val="right" w:pos="8306"/>
      </w:tabs>
      <w:snapToGrid w:val="0"/>
      <w:jc w:val="left"/>
    </w:pPr>
    <w:rPr>
      <w:sz w:val="18"/>
      <w:szCs w:val="18"/>
    </w:rPr>
  </w:style>
  <w:style w:type="paragraph" w:styleId="12">
    <w:name w:val="header"/>
    <w:basedOn w:val="1"/>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3">
    <w:name w:val="toc 1"/>
    <w:basedOn w:val="1"/>
    <w:next w:val="1"/>
    <w:qFormat/>
    <w:uiPriority w:val="0"/>
  </w:style>
  <w:style w:type="paragraph" w:styleId="14">
    <w:name w:val="Body Text First Indent 2"/>
    <w:basedOn w:val="7"/>
    <w:next w:val="1"/>
    <w:unhideWhenUsed/>
    <w:qFormat/>
    <w:uiPriority w:val="99"/>
    <w:pPr>
      <w:ind w:firstLine="420" w:firstLineChars="200"/>
    </w:pPr>
  </w:style>
  <w:style w:type="character" w:styleId="17">
    <w:name w:val="Emphasis"/>
    <w:basedOn w:val="16"/>
    <w:qFormat/>
    <w:uiPriority w:val="0"/>
    <w:rPr>
      <w:i/>
    </w:rPr>
  </w:style>
  <w:style w:type="paragraph" w:customStyle="1" w:styleId="18">
    <w:name w:val="WPSOffice手动目录 1"/>
    <w:qFormat/>
    <w:uiPriority w:val="0"/>
    <w:pPr>
      <w:ind w:leftChars="0"/>
    </w:pPr>
    <w:rPr>
      <w:rFonts w:ascii="Times New Roman" w:hAnsi="Times New Roman" w:eastAsia="宋体" w:cs="Times New Roman"/>
      <w:sz w:val="20"/>
      <w:szCs w:val="20"/>
    </w:rPr>
  </w:style>
  <w:style w:type="paragraph" w:customStyle="1" w:styleId="19">
    <w:name w:val="xl31"/>
    <w:basedOn w:val="1"/>
    <w:qFormat/>
    <w:uiPriority w:val="0"/>
    <w:pPr>
      <w:widowControl/>
      <w:spacing w:before="100" w:beforeAutospacing="1" w:after="100" w:afterAutospacing="1"/>
      <w:jc w:val="center"/>
    </w:pPr>
    <w:rPr>
      <w:rFonts w:ascii="宋体" w:hAnsi="宋体"/>
      <w:b/>
      <w:bCs/>
      <w:kern w:val="0"/>
      <w:sz w:val="28"/>
      <w:szCs w:val="28"/>
    </w:rPr>
  </w:style>
  <w:style w:type="character" w:customStyle="1" w:styleId="20">
    <w:name w:val="标题 2 Char"/>
    <w:link w:val="3"/>
    <w:qFormat/>
    <w:uiPriority w:val="0"/>
    <w:rPr>
      <w:rFonts w:ascii="Arial" w:hAnsi="Arial"/>
      <w:kern w:val="2"/>
      <w:sz w:val="28"/>
      <w:szCs w:val="32"/>
    </w:rPr>
  </w:style>
  <w:style w:type="paragraph" w:customStyle="1" w:styleId="21">
    <w:name w:val="Default"/>
    <w:qFormat/>
    <w:uiPriority w:val="0"/>
    <w:pPr>
      <w:widowControl w:val="0"/>
      <w:autoSpaceDE w:val="0"/>
      <w:autoSpaceDN w:val="0"/>
    </w:pPr>
    <w:rPr>
      <w:rFonts w:hint="eastAsia" w:ascii="Fang Song" w:hAnsi="Fang Song" w:eastAsia="Fang Song" w:cs="Times New Roman"/>
      <w:color w:val="000000"/>
      <w:sz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47</Pages>
  <Words>0</Words>
  <Characters>0</Characters>
  <Lines>0</Lines>
  <Paragraphs>0</Paragraphs>
  <TotalTime>3</TotalTime>
  <ScaleCrop>false</ScaleCrop>
  <LinksUpToDate>false</LinksUpToDate>
  <CharactersWithSpaces>0</CharactersWithSpaces>
  <Application>WPS Office_12.8.2.21176_F1E327BC-269C-435d-A152-05C5408002CA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2026-08-04T00:23:00Z</dcterms:created>
  <dc:creator>石娜</dc:creator>
  <cp:lastModifiedBy>石娜</cp:lastModifiedBy>
  <dcterms:modified xsi:type="dcterms:W3CDTF">2026-08-03T18:41:30Z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2052-12.8.2.21176</vt:lpwstr>
  </property>
  <property fmtid="{D5CDD505-2E9C-101B-9397-08002B2CF9AE}" pid="3" name="ICV">
    <vt:lpwstr>9E7BB499646F2BCA0950706A02B39017_41</vt:lpwstr>
  </property>
</Properties>
</file>